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5CE" w14:textId="46C52573" w:rsidR="003A0DF1" w:rsidRPr="00074D97" w:rsidRDefault="003A0DF1" w:rsidP="003A0DF1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0F8F0194" wp14:editId="040ECC6D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F522" w14:textId="77777777" w:rsidR="003A0DF1" w:rsidRPr="006C7FF5" w:rsidRDefault="003A0DF1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031EF897" w14:textId="77777777" w:rsidR="003A0DF1" w:rsidRPr="004D52AC" w:rsidRDefault="003A0DF1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8"/>
          <w:lang w:val="x-none"/>
        </w:rPr>
      </w:pPr>
      <w:r w:rsidRPr="004D52AC">
        <w:rPr>
          <w:rFonts w:ascii="Arial" w:hAnsi="Arial"/>
          <w:b/>
          <w:bCs/>
          <w:iCs/>
          <w:sz w:val="28"/>
          <w:lang w:val="x-none"/>
        </w:rPr>
        <w:t>Comunicato Stampa</w:t>
      </w:r>
    </w:p>
    <w:p w14:paraId="56336729" w14:textId="77777777" w:rsidR="003A0DF1" w:rsidRPr="00386C1B" w:rsidRDefault="003A0DF1" w:rsidP="003A0DF1">
      <w:pPr>
        <w:keepNext/>
        <w:tabs>
          <w:tab w:val="left" w:pos="9072"/>
        </w:tabs>
        <w:ind w:left="567" w:right="566"/>
        <w:outlineLvl w:val="2"/>
        <w:rPr>
          <w:iCs/>
          <w:sz w:val="22"/>
          <w:lang w:val="x-none"/>
        </w:rPr>
      </w:pPr>
    </w:p>
    <w:p w14:paraId="1F05C631" w14:textId="3DB045B4" w:rsidR="00A67D52" w:rsidRDefault="00A67D4E" w:rsidP="00A67D4E">
      <w:pPr>
        <w:tabs>
          <w:tab w:val="left" w:pos="9639"/>
        </w:tabs>
        <w:ind w:right="-1"/>
        <w:jc w:val="center"/>
        <w:rPr>
          <w:bCs/>
          <w:i/>
          <w:iCs/>
          <w:sz w:val="22"/>
          <w:szCs w:val="22"/>
        </w:rPr>
      </w:pPr>
      <w:bookmarkStart w:id="0" w:name="_Hlk125466093"/>
      <w:r w:rsidRPr="005E4AFE">
        <w:rPr>
          <w:b/>
          <w:sz w:val="22"/>
          <w:szCs w:val="22"/>
        </w:rPr>
        <w:t>Presentat</w:t>
      </w:r>
      <w:r w:rsidR="00A67D52" w:rsidRPr="005E4AFE">
        <w:rPr>
          <w:b/>
          <w:sz w:val="22"/>
          <w:szCs w:val="22"/>
        </w:rPr>
        <w:t xml:space="preserve">o il </w:t>
      </w:r>
      <w:proofErr w:type="gramStart"/>
      <w:r w:rsidR="00A67D52" w:rsidRPr="005E4AFE">
        <w:rPr>
          <w:b/>
          <w:sz w:val="22"/>
          <w:szCs w:val="22"/>
        </w:rPr>
        <w:t>5°</w:t>
      </w:r>
      <w:proofErr w:type="gramEnd"/>
      <w:r w:rsidR="00F96010">
        <w:rPr>
          <w:b/>
          <w:sz w:val="22"/>
          <w:szCs w:val="22"/>
        </w:rPr>
        <w:t xml:space="preserve"> </w:t>
      </w:r>
      <w:r w:rsidRPr="005E4AFE">
        <w:rPr>
          <w:b/>
          <w:sz w:val="22"/>
          <w:szCs w:val="22"/>
        </w:rPr>
        <w:t>Osservatorio Export</w:t>
      </w:r>
      <w:r w:rsidR="00F96010">
        <w:rPr>
          <w:b/>
          <w:sz w:val="22"/>
          <w:szCs w:val="22"/>
        </w:rPr>
        <w:t xml:space="preserve"> </w:t>
      </w:r>
      <w:r w:rsidRPr="005E4AFE">
        <w:rPr>
          <w:b/>
          <w:sz w:val="22"/>
          <w:szCs w:val="22"/>
        </w:rPr>
        <w:t>di Confindustria Veneto Est c</w:t>
      </w:r>
      <w:r w:rsidR="006D4924">
        <w:rPr>
          <w:b/>
          <w:sz w:val="22"/>
          <w:szCs w:val="22"/>
        </w:rPr>
        <w:t xml:space="preserve">on Fondazione Nord Est e SACE. </w:t>
      </w:r>
      <w:r w:rsidR="00612FB7">
        <w:rPr>
          <w:b/>
          <w:sz w:val="22"/>
          <w:szCs w:val="22"/>
        </w:rPr>
        <w:t xml:space="preserve">Export atteso stabile quest’anno </w:t>
      </w:r>
      <w:r w:rsidR="00502ED4" w:rsidRPr="005E4AFE">
        <w:rPr>
          <w:b/>
          <w:sz w:val="22"/>
          <w:szCs w:val="22"/>
        </w:rPr>
        <w:t xml:space="preserve">(+/-3%) </w:t>
      </w:r>
      <w:r w:rsidR="00612FB7">
        <w:rPr>
          <w:b/>
          <w:sz w:val="22"/>
          <w:szCs w:val="22"/>
        </w:rPr>
        <w:t xml:space="preserve">dal </w:t>
      </w:r>
      <w:r w:rsidR="00502ED4" w:rsidRPr="005E4AFE">
        <w:rPr>
          <w:b/>
          <w:sz w:val="22"/>
          <w:szCs w:val="22"/>
        </w:rPr>
        <w:t>52,8% delle imprese manifatturier</w:t>
      </w:r>
      <w:r w:rsidR="006D4924">
        <w:rPr>
          <w:b/>
          <w:sz w:val="22"/>
          <w:szCs w:val="22"/>
        </w:rPr>
        <w:t>e</w:t>
      </w:r>
      <w:r w:rsidR="00502ED4" w:rsidRPr="005E4AFE">
        <w:rPr>
          <w:b/>
          <w:sz w:val="22"/>
          <w:szCs w:val="22"/>
        </w:rPr>
        <w:t xml:space="preserve">, </w:t>
      </w:r>
      <w:r w:rsidR="00E84F81" w:rsidRPr="005E4AFE">
        <w:rPr>
          <w:b/>
          <w:sz w:val="22"/>
          <w:szCs w:val="22"/>
        </w:rPr>
        <w:t>il 4</w:t>
      </w:r>
      <w:r w:rsidR="00A67D52" w:rsidRPr="005E4AFE">
        <w:rPr>
          <w:b/>
          <w:sz w:val="22"/>
          <w:szCs w:val="22"/>
        </w:rPr>
        <w:t>0,9</w:t>
      </w:r>
      <w:r w:rsidR="00612FB7">
        <w:rPr>
          <w:b/>
          <w:sz w:val="22"/>
          <w:szCs w:val="22"/>
        </w:rPr>
        <w:t>%</w:t>
      </w:r>
      <w:r w:rsidR="00622368">
        <w:rPr>
          <w:b/>
          <w:sz w:val="22"/>
          <w:szCs w:val="22"/>
        </w:rPr>
        <w:t xml:space="preserve"> </w:t>
      </w:r>
      <w:r w:rsidR="00AC10EF" w:rsidRPr="005E4AFE">
        <w:rPr>
          <w:b/>
          <w:sz w:val="22"/>
          <w:szCs w:val="22"/>
        </w:rPr>
        <w:t>preved</w:t>
      </w:r>
      <w:r w:rsidR="00622368">
        <w:rPr>
          <w:b/>
          <w:sz w:val="22"/>
          <w:szCs w:val="22"/>
        </w:rPr>
        <w:t>e un aumento.</w:t>
      </w:r>
      <w:r w:rsidR="005A5174">
        <w:rPr>
          <w:b/>
          <w:sz w:val="22"/>
          <w:szCs w:val="22"/>
        </w:rPr>
        <w:t xml:space="preserve"> </w:t>
      </w:r>
      <w:r w:rsidR="00502ED4" w:rsidRPr="005E4AFE">
        <w:rPr>
          <w:b/>
          <w:sz w:val="22"/>
          <w:szCs w:val="22"/>
        </w:rPr>
        <w:t>Medio Oriente, Gran Bretagna, Africa e Cina le direttrici del prossimo biennio</w:t>
      </w:r>
    </w:p>
    <w:p w14:paraId="357674DD" w14:textId="77777777" w:rsidR="00EE4A5A" w:rsidRPr="00612FB7" w:rsidRDefault="00EE4A5A" w:rsidP="00A67D4E">
      <w:pPr>
        <w:tabs>
          <w:tab w:val="left" w:pos="9639"/>
        </w:tabs>
        <w:ind w:right="-1"/>
        <w:jc w:val="center"/>
        <w:rPr>
          <w:b/>
          <w:sz w:val="16"/>
          <w:szCs w:val="16"/>
        </w:rPr>
      </w:pPr>
      <w:bookmarkStart w:id="1" w:name="_Hlk125308715"/>
      <w:bookmarkEnd w:id="0"/>
    </w:p>
    <w:p w14:paraId="68769E9B" w14:textId="1694710B" w:rsidR="009C1148" w:rsidRDefault="00980466" w:rsidP="00A67D4E">
      <w:pPr>
        <w:tabs>
          <w:tab w:val="left" w:pos="9639"/>
        </w:tabs>
        <w:ind w:right="-1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VENETO EST: EXPORT RESILIENTE (PER ORA)</w:t>
      </w:r>
      <w:r w:rsidR="00E1229B">
        <w:rPr>
          <w:b/>
          <w:sz w:val="28"/>
          <w:szCs w:val="28"/>
        </w:rPr>
        <w:t xml:space="preserve"> A DAZI E GERMANIA. NEL 2026 TREND IN CRESCITA PER 4 AZIENDE SU DIECI</w:t>
      </w:r>
    </w:p>
    <w:bookmarkEnd w:id="1"/>
    <w:p w14:paraId="6CC64637" w14:textId="77777777" w:rsidR="00743BC6" w:rsidRPr="00612FB7" w:rsidRDefault="00743BC6" w:rsidP="00523F81">
      <w:pPr>
        <w:tabs>
          <w:tab w:val="left" w:pos="9072"/>
        </w:tabs>
        <w:ind w:left="567" w:right="566"/>
        <w:jc w:val="center"/>
        <w:rPr>
          <w:sz w:val="16"/>
          <w:szCs w:val="16"/>
        </w:rPr>
      </w:pPr>
    </w:p>
    <w:p w14:paraId="6D7B9122" w14:textId="4571B305" w:rsidR="00A67D4E" w:rsidRPr="004A3351" w:rsidRDefault="00065BA9" w:rsidP="00A67D4E">
      <w:pPr>
        <w:pStyle w:val="Paragrafoelenco"/>
        <w:numPr>
          <w:ilvl w:val="0"/>
          <w:numId w:val="6"/>
        </w:numPr>
        <w:tabs>
          <w:tab w:val="left" w:pos="9639"/>
        </w:tabs>
        <w:ind w:left="284" w:right="-1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Impatti moderati da tariffe Usa e crisi tedesca. </w:t>
      </w:r>
      <w:r w:rsidR="00A67D4E" w:rsidRPr="004A3351">
        <w:rPr>
          <w:b/>
          <w:sz w:val="22"/>
          <w:szCs w:val="22"/>
        </w:rPr>
        <w:t>Germania e Stati Uniti restano centrali per le</w:t>
      </w:r>
      <w:r>
        <w:rPr>
          <w:b/>
          <w:sz w:val="22"/>
          <w:szCs w:val="22"/>
        </w:rPr>
        <w:t xml:space="preserve"> </w:t>
      </w:r>
      <w:r w:rsidR="00A67D4E" w:rsidRPr="004A3351">
        <w:rPr>
          <w:b/>
          <w:sz w:val="22"/>
          <w:szCs w:val="22"/>
        </w:rPr>
        <w:t>impres</w:t>
      </w:r>
      <w:r>
        <w:rPr>
          <w:b/>
          <w:sz w:val="22"/>
          <w:szCs w:val="22"/>
        </w:rPr>
        <w:t xml:space="preserve">e, </w:t>
      </w:r>
      <w:r w:rsidR="00A67D4E" w:rsidRPr="004A3351">
        <w:rPr>
          <w:b/>
          <w:sz w:val="22"/>
          <w:szCs w:val="22"/>
        </w:rPr>
        <w:t>che reagiscon</w:t>
      </w:r>
      <w:r w:rsidR="00705254">
        <w:rPr>
          <w:b/>
          <w:sz w:val="22"/>
          <w:szCs w:val="22"/>
        </w:rPr>
        <w:t xml:space="preserve">o </w:t>
      </w:r>
      <w:r w:rsidR="00942DEF" w:rsidRPr="004A3351">
        <w:rPr>
          <w:b/>
          <w:sz w:val="22"/>
          <w:szCs w:val="22"/>
        </w:rPr>
        <w:t xml:space="preserve">con prudenza e rafforzando strategie di </w:t>
      </w:r>
      <w:r w:rsidR="00A67D4E" w:rsidRPr="004A3351">
        <w:rPr>
          <w:b/>
          <w:sz w:val="22"/>
          <w:szCs w:val="22"/>
        </w:rPr>
        <w:t>diversificazione e gestione del rischio</w:t>
      </w:r>
      <w:r w:rsidR="00980466" w:rsidRPr="004A3351">
        <w:rPr>
          <w:b/>
          <w:sz w:val="22"/>
          <w:szCs w:val="22"/>
        </w:rPr>
        <w:t>.</w:t>
      </w:r>
    </w:p>
    <w:p w14:paraId="387BC614" w14:textId="5FCD6A66" w:rsidR="00A67D4E" w:rsidRPr="004A3351" w:rsidRDefault="00A67D4E" w:rsidP="00A67D4E">
      <w:pPr>
        <w:pStyle w:val="Paragrafoelenco"/>
        <w:numPr>
          <w:ilvl w:val="0"/>
          <w:numId w:val="6"/>
        </w:numPr>
        <w:tabs>
          <w:tab w:val="left" w:pos="9639"/>
        </w:tabs>
        <w:ind w:left="284" w:right="-1" w:hanging="284"/>
        <w:jc w:val="both"/>
        <w:rPr>
          <w:b/>
          <w:sz w:val="22"/>
          <w:szCs w:val="22"/>
        </w:rPr>
      </w:pPr>
      <w:r w:rsidRPr="004A3351">
        <w:rPr>
          <w:b/>
          <w:sz w:val="22"/>
          <w:szCs w:val="22"/>
        </w:rPr>
        <w:t xml:space="preserve">Dazi </w:t>
      </w:r>
      <w:r w:rsidR="00FD5364">
        <w:rPr>
          <w:b/>
          <w:sz w:val="22"/>
          <w:szCs w:val="22"/>
        </w:rPr>
        <w:t xml:space="preserve">e instabilità geopolitica </w:t>
      </w:r>
      <w:r w:rsidRPr="004A3351">
        <w:rPr>
          <w:b/>
          <w:sz w:val="22"/>
          <w:szCs w:val="22"/>
        </w:rPr>
        <w:t>spingono le imprese a riorganizzare le catene di fornitura, privilegiando fornitori più vicini e modelli di approvvigionamento p</w:t>
      </w:r>
      <w:r w:rsidR="00942DEF" w:rsidRPr="004A3351">
        <w:rPr>
          <w:b/>
          <w:sz w:val="22"/>
          <w:szCs w:val="22"/>
        </w:rPr>
        <w:t>iù sicuri.</w:t>
      </w:r>
    </w:p>
    <w:p w14:paraId="7F6AC980" w14:textId="2545FB9B" w:rsidR="00A67D4E" w:rsidRPr="004A3351" w:rsidRDefault="00A67D4E" w:rsidP="00A67D4E">
      <w:pPr>
        <w:pStyle w:val="Paragrafoelenco"/>
        <w:numPr>
          <w:ilvl w:val="0"/>
          <w:numId w:val="6"/>
        </w:numPr>
        <w:tabs>
          <w:tab w:val="left" w:pos="9639"/>
        </w:tabs>
        <w:ind w:left="284" w:right="-1" w:hanging="284"/>
        <w:jc w:val="both"/>
        <w:rPr>
          <w:b/>
          <w:i/>
          <w:iCs/>
          <w:sz w:val="22"/>
          <w:szCs w:val="22"/>
        </w:rPr>
      </w:pPr>
      <w:r w:rsidRPr="004A3351">
        <w:rPr>
          <w:b/>
          <w:sz w:val="22"/>
          <w:szCs w:val="22"/>
        </w:rPr>
        <w:t>L’integrazione tra beni e servizi nell’export si consolida come leva strategica: le imprese che affiancano servizi alla vendita dei prodotti generano più valore e migliori performance economiche.</w:t>
      </w:r>
    </w:p>
    <w:p w14:paraId="1287FE7E" w14:textId="5379A9FC" w:rsidR="00602FBB" w:rsidRDefault="00A67D4E" w:rsidP="00A67D4E">
      <w:pPr>
        <w:pStyle w:val="Paragrafoelenco"/>
        <w:numPr>
          <w:ilvl w:val="0"/>
          <w:numId w:val="6"/>
        </w:numPr>
        <w:tabs>
          <w:tab w:val="left" w:pos="9639"/>
        </w:tabs>
        <w:ind w:left="284" w:right="-1" w:hanging="284"/>
        <w:jc w:val="both"/>
        <w:rPr>
          <w:b/>
          <w:i/>
          <w:iCs/>
          <w:sz w:val="22"/>
          <w:szCs w:val="22"/>
        </w:rPr>
      </w:pPr>
      <w:r w:rsidRPr="00A67D4E">
        <w:rPr>
          <w:b/>
          <w:sz w:val="22"/>
          <w:szCs w:val="22"/>
        </w:rPr>
        <w:t xml:space="preserve">Moretto: </w:t>
      </w:r>
      <w:r w:rsidRPr="00A67D4E">
        <w:rPr>
          <w:b/>
          <w:i/>
          <w:iCs/>
          <w:sz w:val="22"/>
          <w:szCs w:val="22"/>
        </w:rPr>
        <w:t>«</w:t>
      </w:r>
      <w:r w:rsidR="005A5174">
        <w:rPr>
          <w:b/>
          <w:i/>
          <w:iCs/>
          <w:sz w:val="22"/>
          <w:szCs w:val="22"/>
        </w:rPr>
        <w:t>Dall’estero il 40% del fatturato delle imprese internazionalizzat</w:t>
      </w:r>
      <w:r w:rsidR="00CE4E1D">
        <w:rPr>
          <w:b/>
          <w:i/>
          <w:iCs/>
          <w:sz w:val="22"/>
          <w:szCs w:val="22"/>
        </w:rPr>
        <w:t xml:space="preserve">e, ma </w:t>
      </w:r>
      <w:r w:rsidR="002142E0">
        <w:rPr>
          <w:b/>
          <w:i/>
          <w:iCs/>
          <w:sz w:val="22"/>
          <w:szCs w:val="22"/>
        </w:rPr>
        <w:t>potenziale</w:t>
      </w:r>
      <w:r w:rsidR="00CE4E1D">
        <w:rPr>
          <w:b/>
          <w:i/>
          <w:iCs/>
          <w:sz w:val="22"/>
          <w:szCs w:val="22"/>
        </w:rPr>
        <w:t xml:space="preserve"> </w:t>
      </w:r>
      <w:r w:rsidR="002142E0">
        <w:rPr>
          <w:b/>
          <w:i/>
          <w:iCs/>
          <w:sz w:val="22"/>
          <w:szCs w:val="22"/>
        </w:rPr>
        <w:t>ancora alto. Strategie di sistema e accordi commerciali per coglierl</w:t>
      </w:r>
      <w:r w:rsidR="00705254">
        <w:rPr>
          <w:b/>
          <w:i/>
          <w:iCs/>
          <w:sz w:val="22"/>
          <w:szCs w:val="22"/>
        </w:rPr>
        <w:t>o. Dopo l’India, avant</w:t>
      </w:r>
      <w:r w:rsidR="00CE4E1D">
        <w:rPr>
          <w:b/>
          <w:i/>
          <w:iCs/>
          <w:sz w:val="22"/>
          <w:szCs w:val="22"/>
        </w:rPr>
        <w:t xml:space="preserve">i con la ratifica </w:t>
      </w:r>
      <w:r w:rsidR="00705254">
        <w:rPr>
          <w:b/>
          <w:i/>
          <w:iCs/>
          <w:sz w:val="22"/>
          <w:szCs w:val="22"/>
        </w:rPr>
        <w:t>Mercosur</w:t>
      </w:r>
      <w:r w:rsidR="002142E0">
        <w:rPr>
          <w:b/>
          <w:i/>
          <w:iCs/>
          <w:sz w:val="22"/>
          <w:szCs w:val="22"/>
        </w:rPr>
        <w:t>»</w:t>
      </w:r>
    </w:p>
    <w:p w14:paraId="5E5EC2BC" w14:textId="77777777" w:rsidR="00F16E6E" w:rsidRDefault="00F16E6E" w:rsidP="00DF4C9B">
      <w:pPr>
        <w:tabs>
          <w:tab w:val="left" w:pos="9639"/>
        </w:tabs>
        <w:ind w:right="-1"/>
        <w:jc w:val="both"/>
        <w:rPr>
          <w:sz w:val="22"/>
        </w:rPr>
      </w:pPr>
    </w:p>
    <w:p w14:paraId="026C00C6" w14:textId="0022702B" w:rsidR="00E2162F" w:rsidRDefault="003A0DF1" w:rsidP="00DF4C9B">
      <w:pPr>
        <w:tabs>
          <w:tab w:val="left" w:pos="9639"/>
        </w:tabs>
        <w:ind w:right="-1"/>
        <w:jc w:val="both"/>
        <w:rPr>
          <w:sz w:val="22"/>
        </w:rPr>
      </w:pPr>
      <w:r>
        <w:rPr>
          <w:sz w:val="22"/>
        </w:rPr>
        <w:t>(Padova-Treviso-Venezia-Rovigo</w:t>
      </w:r>
      <w:r w:rsidR="00E1335D">
        <w:rPr>
          <w:sz w:val="22"/>
        </w:rPr>
        <w:t xml:space="preserve"> - 04.02.2026</w:t>
      </w:r>
      <w:r>
        <w:rPr>
          <w:sz w:val="22"/>
        </w:rPr>
        <w:t>)</w:t>
      </w:r>
      <w:bookmarkStart w:id="2" w:name="_Hlk118972705"/>
      <w:r w:rsidR="004203F3">
        <w:rPr>
          <w:sz w:val="22"/>
        </w:rPr>
        <w:t xml:space="preserve"> </w:t>
      </w:r>
      <w:r w:rsidR="00E1335D">
        <w:rPr>
          <w:sz w:val="22"/>
        </w:rPr>
        <w:t xml:space="preserve">- </w:t>
      </w:r>
      <w:r w:rsidR="005A55F2">
        <w:rPr>
          <w:sz w:val="22"/>
        </w:rPr>
        <w:t xml:space="preserve">Il </w:t>
      </w:r>
      <w:r w:rsidR="005A55F2" w:rsidRPr="00E46D75">
        <w:rPr>
          <w:b/>
          <w:bCs/>
          <w:sz w:val="22"/>
        </w:rPr>
        <w:t>Venet</w:t>
      </w:r>
      <w:r w:rsidR="00980466" w:rsidRPr="00E46D75">
        <w:rPr>
          <w:b/>
          <w:bCs/>
          <w:sz w:val="22"/>
        </w:rPr>
        <w:t>o</w:t>
      </w:r>
      <w:r w:rsidR="00980466">
        <w:rPr>
          <w:sz w:val="22"/>
        </w:rPr>
        <w:t xml:space="preserve"> mostra resilienza davanti al caos global</w:t>
      </w:r>
      <w:r w:rsidR="00842A99">
        <w:rPr>
          <w:sz w:val="22"/>
        </w:rPr>
        <w:t xml:space="preserve">e, </w:t>
      </w:r>
      <w:r w:rsidR="00980466">
        <w:rPr>
          <w:sz w:val="22"/>
        </w:rPr>
        <w:t xml:space="preserve">e si conferma </w:t>
      </w:r>
      <w:r w:rsidR="00980466" w:rsidRPr="00E46D75">
        <w:rPr>
          <w:b/>
          <w:bCs/>
          <w:sz w:val="22"/>
        </w:rPr>
        <w:t>leader per propensione all’e</w:t>
      </w:r>
      <w:r w:rsidR="0076482D" w:rsidRPr="00E46D75">
        <w:rPr>
          <w:b/>
          <w:bCs/>
          <w:sz w:val="22"/>
        </w:rPr>
        <w:t>stero</w:t>
      </w:r>
      <w:r w:rsidR="0076482D">
        <w:rPr>
          <w:sz w:val="22"/>
        </w:rPr>
        <w:t xml:space="preserve">, nonostante dazi e Germania. </w:t>
      </w:r>
      <w:r w:rsidR="00980466">
        <w:rPr>
          <w:sz w:val="22"/>
        </w:rPr>
        <w:t>Con un rapporto tra interscambio e PIL</w:t>
      </w:r>
      <w:r w:rsidR="00B23074">
        <w:rPr>
          <w:sz w:val="22"/>
        </w:rPr>
        <w:t xml:space="preserve"> pari a circa il </w:t>
      </w:r>
      <w:r w:rsidR="00842A99">
        <w:rPr>
          <w:sz w:val="22"/>
        </w:rPr>
        <w:t>71%, è la r</w:t>
      </w:r>
      <w:r w:rsidR="0076482D">
        <w:rPr>
          <w:sz w:val="22"/>
        </w:rPr>
        <w:t xml:space="preserve">egione italiana più orientata agli scambi internazionali </w:t>
      </w:r>
      <w:r w:rsidR="004203F3">
        <w:rPr>
          <w:sz w:val="22"/>
        </w:rPr>
        <w:t>(</w:t>
      </w:r>
      <w:r w:rsidR="00842A99">
        <w:rPr>
          <w:sz w:val="22"/>
        </w:rPr>
        <w:t>56% il dato nazionale</w:t>
      </w:r>
      <w:r w:rsidR="004203F3">
        <w:rPr>
          <w:sz w:val="22"/>
        </w:rPr>
        <w:t>)</w:t>
      </w:r>
      <w:r w:rsidR="008A136D">
        <w:rPr>
          <w:sz w:val="22"/>
        </w:rPr>
        <w:t>, terza p</w:t>
      </w:r>
      <w:r w:rsidR="0076482D">
        <w:rPr>
          <w:sz w:val="22"/>
        </w:rPr>
        <w:t xml:space="preserve">er export di beni </w:t>
      </w:r>
      <w:r w:rsidR="008A136D">
        <w:rPr>
          <w:sz w:val="22"/>
        </w:rPr>
        <w:t>(13% del totale)</w:t>
      </w:r>
      <w:r w:rsidR="00FA1DE2">
        <w:rPr>
          <w:sz w:val="22"/>
        </w:rPr>
        <w:t>. Sulle prospettive a breve preval</w:t>
      </w:r>
      <w:r w:rsidR="009121FA">
        <w:rPr>
          <w:sz w:val="22"/>
        </w:rPr>
        <w:t xml:space="preserve">e la cautela e “attesa”, </w:t>
      </w:r>
      <w:r w:rsidR="000846FA">
        <w:rPr>
          <w:sz w:val="22"/>
        </w:rPr>
        <w:t xml:space="preserve">per il clima globale di incertezza e volatilità, ma in miglioramento. </w:t>
      </w:r>
      <w:r w:rsidR="00842A99" w:rsidRPr="00FA1DE2">
        <w:rPr>
          <w:b/>
          <w:bCs/>
          <w:sz w:val="22"/>
        </w:rPr>
        <w:t xml:space="preserve">Nel 2026 le </w:t>
      </w:r>
      <w:r w:rsidR="00DE1E20" w:rsidRPr="00FA1DE2">
        <w:rPr>
          <w:b/>
          <w:bCs/>
          <w:sz w:val="22"/>
        </w:rPr>
        <w:t>e</w:t>
      </w:r>
      <w:r w:rsidR="00DE1E20" w:rsidRPr="00CC5F87">
        <w:rPr>
          <w:b/>
          <w:bCs/>
          <w:sz w:val="22"/>
        </w:rPr>
        <w:t>sportazioni sono attes</w:t>
      </w:r>
      <w:r w:rsidR="0076482D">
        <w:rPr>
          <w:b/>
          <w:bCs/>
          <w:sz w:val="22"/>
        </w:rPr>
        <w:t xml:space="preserve">e stabili </w:t>
      </w:r>
      <w:r w:rsidR="00DE1E20" w:rsidRPr="00CC5F87">
        <w:rPr>
          <w:b/>
          <w:bCs/>
          <w:sz w:val="22"/>
        </w:rPr>
        <w:t>(+/-3%)</w:t>
      </w:r>
      <w:r w:rsidR="0076482D">
        <w:rPr>
          <w:b/>
          <w:bCs/>
          <w:sz w:val="22"/>
        </w:rPr>
        <w:t xml:space="preserve"> dal 52,8% delle imprese manifatturiere del Veneto oriental</w:t>
      </w:r>
      <w:r w:rsidR="00FA1DE2">
        <w:rPr>
          <w:b/>
          <w:bCs/>
          <w:sz w:val="22"/>
        </w:rPr>
        <w:t>e</w:t>
      </w:r>
      <w:r w:rsidR="00FA1DE2" w:rsidRPr="00FA1DE2">
        <w:rPr>
          <w:sz w:val="22"/>
        </w:rPr>
        <w:t xml:space="preserve"> (61,5% nei servizi). </w:t>
      </w:r>
      <w:r w:rsidR="00FA1DE2" w:rsidRPr="00FA1DE2">
        <w:rPr>
          <w:b/>
          <w:bCs/>
          <w:sz w:val="22"/>
        </w:rPr>
        <w:t>Quattro su dieci (40,9%) si aspettano una crescita</w:t>
      </w:r>
      <w:r w:rsidR="00FA1DE2" w:rsidRPr="00FA1DE2">
        <w:rPr>
          <w:sz w:val="22"/>
        </w:rPr>
        <w:t>,</w:t>
      </w:r>
      <w:r w:rsidR="000846FA">
        <w:rPr>
          <w:sz w:val="22"/>
        </w:rPr>
        <w:t xml:space="preserve"> che </w:t>
      </w:r>
      <w:r w:rsidR="00C1134A">
        <w:rPr>
          <w:sz w:val="22"/>
        </w:rPr>
        <w:t>p</w:t>
      </w:r>
      <w:r w:rsidR="00FA1DE2">
        <w:rPr>
          <w:sz w:val="22"/>
        </w:rPr>
        <w:t>er il 31,5%</w:t>
      </w:r>
      <w:r w:rsidR="00622368">
        <w:rPr>
          <w:sz w:val="22"/>
        </w:rPr>
        <w:t xml:space="preserve"> sarà </w:t>
      </w:r>
      <w:r w:rsidR="00FA1DE2">
        <w:rPr>
          <w:sz w:val="22"/>
        </w:rPr>
        <w:t>compres</w:t>
      </w:r>
      <w:r w:rsidR="00612FB7">
        <w:rPr>
          <w:sz w:val="22"/>
        </w:rPr>
        <w:t xml:space="preserve">a tra il </w:t>
      </w:r>
      <w:r w:rsidR="00EB3B2A">
        <w:rPr>
          <w:sz w:val="22"/>
        </w:rPr>
        <w:t>+</w:t>
      </w:r>
      <w:r w:rsidR="00631E2E">
        <w:rPr>
          <w:sz w:val="22"/>
        </w:rPr>
        <w:t>3</w:t>
      </w:r>
      <w:r w:rsidR="00EB3B2A">
        <w:rPr>
          <w:sz w:val="22"/>
        </w:rPr>
        <w:t>/+</w:t>
      </w:r>
      <w:r w:rsidR="00631E2E">
        <w:rPr>
          <w:sz w:val="22"/>
        </w:rPr>
        <w:t>10%</w:t>
      </w:r>
      <w:r w:rsidR="00DC2409">
        <w:rPr>
          <w:sz w:val="22"/>
        </w:rPr>
        <w:t>.</w:t>
      </w:r>
      <w:r w:rsidR="0067399B">
        <w:rPr>
          <w:sz w:val="22"/>
        </w:rPr>
        <w:t xml:space="preserve"> </w:t>
      </w:r>
      <w:r w:rsidR="0067399B" w:rsidRPr="0067399B">
        <w:rPr>
          <w:sz w:val="22"/>
        </w:rPr>
        <w:t>I</w:t>
      </w:r>
      <w:r w:rsidR="0067399B" w:rsidRPr="00395549">
        <w:rPr>
          <w:sz w:val="22"/>
        </w:rPr>
        <w:t xml:space="preserve"> Paesi target </w:t>
      </w:r>
      <w:r w:rsidR="0067399B" w:rsidRPr="0067399B">
        <w:rPr>
          <w:sz w:val="22"/>
        </w:rPr>
        <w:t>restano</w:t>
      </w:r>
      <w:r w:rsidR="00395549">
        <w:rPr>
          <w:sz w:val="22"/>
        </w:rPr>
        <w:t xml:space="preserve"> </w:t>
      </w:r>
      <w:r w:rsidR="0067399B" w:rsidRPr="0067399B">
        <w:rPr>
          <w:b/>
          <w:bCs/>
          <w:sz w:val="22"/>
        </w:rPr>
        <w:t>Germania</w:t>
      </w:r>
      <w:r w:rsidR="00395549">
        <w:rPr>
          <w:b/>
          <w:bCs/>
          <w:sz w:val="22"/>
        </w:rPr>
        <w:t xml:space="preserve">, </w:t>
      </w:r>
      <w:r w:rsidR="0067399B" w:rsidRPr="0067399B">
        <w:rPr>
          <w:b/>
          <w:bCs/>
          <w:sz w:val="22"/>
        </w:rPr>
        <w:t>Francia</w:t>
      </w:r>
      <w:r w:rsidR="00395549">
        <w:rPr>
          <w:sz w:val="22"/>
        </w:rPr>
        <w:t xml:space="preserve"> e </w:t>
      </w:r>
      <w:r w:rsidR="0067399B" w:rsidRPr="0067399B">
        <w:rPr>
          <w:b/>
          <w:bCs/>
          <w:sz w:val="22"/>
        </w:rPr>
        <w:t>Stati Uniti</w:t>
      </w:r>
      <w:r w:rsidR="0067399B" w:rsidRPr="0067399B">
        <w:rPr>
          <w:sz w:val="22"/>
        </w:rPr>
        <w:t>.</w:t>
      </w:r>
      <w:r w:rsidR="00395549">
        <w:rPr>
          <w:sz w:val="22"/>
        </w:rPr>
        <w:t xml:space="preserve"> </w:t>
      </w:r>
      <w:r w:rsidR="006D4924" w:rsidRPr="00E05DC1">
        <w:rPr>
          <w:b/>
          <w:bCs/>
          <w:sz w:val="22"/>
        </w:rPr>
        <w:t xml:space="preserve">Diversificazione </w:t>
      </w:r>
      <w:r w:rsidR="00E05DC1" w:rsidRPr="00E05DC1">
        <w:rPr>
          <w:b/>
          <w:bCs/>
          <w:sz w:val="22"/>
        </w:rPr>
        <w:t>dei mercati di sbocco</w:t>
      </w:r>
      <w:r w:rsidR="00E05DC1">
        <w:rPr>
          <w:sz w:val="22"/>
        </w:rPr>
        <w:t xml:space="preserve"> (per il 54,8%) e ampliamento dei fornitori, sono state la risposta a </w:t>
      </w:r>
      <w:r w:rsidR="00E05DC1" w:rsidRPr="00B02FB8">
        <w:rPr>
          <w:b/>
          <w:bCs/>
          <w:sz w:val="22"/>
        </w:rPr>
        <w:t>minacce tariffarie</w:t>
      </w:r>
      <w:r w:rsidR="00E05DC1">
        <w:rPr>
          <w:sz w:val="22"/>
        </w:rPr>
        <w:t xml:space="preserve"> e </w:t>
      </w:r>
      <w:r w:rsidR="00E05DC1" w:rsidRPr="00B02FB8">
        <w:rPr>
          <w:b/>
          <w:bCs/>
          <w:sz w:val="22"/>
        </w:rPr>
        <w:t>instabilità geopolitica</w:t>
      </w:r>
      <w:r w:rsidR="00E05DC1">
        <w:rPr>
          <w:sz w:val="22"/>
        </w:rPr>
        <w:t xml:space="preserve">, percepite come i </w:t>
      </w:r>
      <w:r w:rsidR="00E05DC1" w:rsidRPr="00B02FB8">
        <w:rPr>
          <w:b/>
          <w:bCs/>
          <w:sz w:val="22"/>
        </w:rPr>
        <w:t>principali rischi</w:t>
      </w:r>
      <w:r w:rsidR="00E05DC1">
        <w:rPr>
          <w:sz w:val="22"/>
        </w:rPr>
        <w:t xml:space="preserve">. Oltre alla </w:t>
      </w:r>
      <w:r w:rsidR="00E05DC1" w:rsidRPr="00BC043F">
        <w:rPr>
          <w:b/>
          <w:bCs/>
          <w:sz w:val="22"/>
        </w:rPr>
        <w:t>riorganizzazione delle reti di fornitura</w:t>
      </w:r>
      <w:r w:rsidR="00E05DC1">
        <w:rPr>
          <w:sz w:val="22"/>
        </w:rPr>
        <w:t xml:space="preserve"> verso Paesi più vicini o amici (</w:t>
      </w:r>
      <w:r w:rsidR="00E05DC1">
        <w:rPr>
          <w:i/>
          <w:iCs/>
          <w:sz w:val="22"/>
        </w:rPr>
        <w:t>friend-</w:t>
      </w:r>
      <w:proofErr w:type="spellStart"/>
      <w:r w:rsidR="00E05DC1">
        <w:rPr>
          <w:i/>
          <w:iCs/>
          <w:sz w:val="22"/>
        </w:rPr>
        <w:t>shoring</w:t>
      </w:r>
      <w:proofErr w:type="spellEnd"/>
      <w:r w:rsidR="00E05DC1">
        <w:rPr>
          <w:sz w:val="22"/>
        </w:rPr>
        <w:t xml:space="preserve">) per maggiore sicurezza degli approvvigionamenti. </w:t>
      </w:r>
      <w:r w:rsidR="00DC2409" w:rsidRPr="003224BD">
        <w:rPr>
          <w:b/>
          <w:bCs/>
          <w:sz w:val="22"/>
        </w:rPr>
        <w:t>Rafforzamento nei mercati già</w:t>
      </w:r>
      <w:r w:rsidR="000846FA" w:rsidRPr="003224BD">
        <w:rPr>
          <w:b/>
          <w:bCs/>
          <w:sz w:val="22"/>
        </w:rPr>
        <w:t xml:space="preserve"> serviti</w:t>
      </w:r>
      <w:r w:rsidR="000846FA">
        <w:rPr>
          <w:sz w:val="22"/>
        </w:rPr>
        <w:t xml:space="preserve"> </w:t>
      </w:r>
      <w:r w:rsidR="00FB62D0">
        <w:rPr>
          <w:sz w:val="22"/>
        </w:rPr>
        <w:t>(</w:t>
      </w:r>
      <w:r w:rsidR="00C70D46">
        <w:rPr>
          <w:sz w:val="22"/>
        </w:rPr>
        <w:t>per il 54,7%</w:t>
      </w:r>
      <w:r w:rsidR="00FB62D0">
        <w:rPr>
          <w:sz w:val="22"/>
        </w:rPr>
        <w:t>)</w:t>
      </w:r>
      <w:r w:rsidR="00395549">
        <w:rPr>
          <w:sz w:val="22"/>
        </w:rPr>
        <w:t xml:space="preserve"> </w:t>
      </w:r>
      <w:r w:rsidR="00DC2409">
        <w:rPr>
          <w:sz w:val="22"/>
        </w:rPr>
        <w:t xml:space="preserve">e </w:t>
      </w:r>
      <w:r w:rsidR="00DC2409" w:rsidRPr="003224BD">
        <w:rPr>
          <w:b/>
          <w:bCs/>
          <w:sz w:val="22"/>
        </w:rPr>
        <w:t>diversifica</w:t>
      </w:r>
      <w:r w:rsidR="00593942">
        <w:rPr>
          <w:b/>
          <w:bCs/>
          <w:sz w:val="22"/>
        </w:rPr>
        <w:t xml:space="preserve">zione delle rotte </w:t>
      </w:r>
      <w:r w:rsidR="001A2650">
        <w:rPr>
          <w:sz w:val="22"/>
        </w:rPr>
        <w:t>(</w:t>
      </w:r>
      <w:r w:rsidR="00C70D46">
        <w:rPr>
          <w:sz w:val="22"/>
        </w:rPr>
        <w:t>Medio Orient</w:t>
      </w:r>
      <w:r w:rsidR="00D52D33">
        <w:rPr>
          <w:sz w:val="22"/>
        </w:rPr>
        <w:t xml:space="preserve">e, Gran Bretagna, </w:t>
      </w:r>
      <w:r w:rsidR="00C70D46">
        <w:rPr>
          <w:sz w:val="22"/>
        </w:rPr>
        <w:t>Africa e C</w:t>
      </w:r>
      <w:r w:rsidR="00BC043F">
        <w:rPr>
          <w:sz w:val="22"/>
        </w:rPr>
        <w:t>ina</w:t>
      </w:r>
      <w:r w:rsidR="00E05DC1">
        <w:rPr>
          <w:sz w:val="22"/>
        </w:rPr>
        <w:t xml:space="preserve">) lo saranno nei prossimi due anni. </w:t>
      </w:r>
      <w:r w:rsidR="00E87DCC">
        <w:rPr>
          <w:sz w:val="22"/>
        </w:rPr>
        <w:t xml:space="preserve">La risposta ai dazi Usa privilegia la </w:t>
      </w:r>
      <w:r w:rsidR="00E87DCC" w:rsidRPr="00E87DCC">
        <w:rPr>
          <w:b/>
          <w:bCs/>
          <w:sz w:val="22"/>
        </w:rPr>
        <w:t>collaborazione con i fornitori</w:t>
      </w:r>
      <w:r w:rsidR="00E87DCC">
        <w:rPr>
          <w:b/>
          <w:bCs/>
          <w:sz w:val="22"/>
        </w:rPr>
        <w:t xml:space="preserve"> </w:t>
      </w:r>
      <w:r w:rsidR="00E87DCC">
        <w:rPr>
          <w:sz w:val="22"/>
        </w:rPr>
        <w:t>e l’</w:t>
      </w:r>
      <w:r w:rsidR="00E87DCC" w:rsidRPr="00E87DCC">
        <w:rPr>
          <w:b/>
          <w:bCs/>
          <w:sz w:val="22"/>
        </w:rPr>
        <w:t>abbassamento dei prezzi</w:t>
      </w:r>
      <w:r w:rsidR="00E05DC1" w:rsidRPr="00E05DC1">
        <w:rPr>
          <w:sz w:val="22"/>
        </w:rPr>
        <w:t xml:space="preserve">, </w:t>
      </w:r>
      <w:r w:rsidR="00E87DCC">
        <w:rPr>
          <w:sz w:val="22"/>
        </w:rPr>
        <w:t xml:space="preserve">rispetto a ricollocamento della produzione o stabilimenti negli Usa. </w:t>
      </w:r>
      <w:r w:rsidR="00327749">
        <w:rPr>
          <w:sz w:val="22"/>
        </w:rPr>
        <w:t>L’</w:t>
      </w:r>
      <w:r w:rsidR="00327749" w:rsidRPr="00BC043F">
        <w:rPr>
          <w:b/>
          <w:bCs/>
          <w:sz w:val="22"/>
        </w:rPr>
        <w:t>integrazione t</w:t>
      </w:r>
      <w:r w:rsidR="00955C0B">
        <w:rPr>
          <w:b/>
          <w:bCs/>
          <w:sz w:val="22"/>
        </w:rPr>
        <w:t xml:space="preserve">ra export di beni e offerta di servizi </w:t>
      </w:r>
      <w:r w:rsidR="003224BD" w:rsidRPr="00BC043F">
        <w:rPr>
          <w:b/>
          <w:bCs/>
          <w:sz w:val="22"/>
        </w:rPr>
        <w:t>(</w:t>
      </w:r>
      <w:proofErr w:type="spellStart"/>
      <w:r w:rsidR="003224BD" w:rsidRPr="00BC043F">
        <w:rPr>
          <w:b/>
          <w:bCs/>
          <w:sz w:val="22"/>
        </w:rPr>
        <w:t>servitizzazione</w:t>
      </w:r>
      <w:proofErr w:type="spellEnd"/>
      <w:r w:rsidR="003224BD" w:rsidRPr="00BC043F">
        <w:rPr>
          <w:b/>
          <w:bCs/>
          <w:sz w:val="22"/>
        </w:rPr>
        <w:t xml:space="preserve">) </w:t>
      </w:r>
      <w:r w:rsidR="003224BD">
        <w:rPr>
          <w:sz w:val="22"/>
        </w:rPr>
        <w:t>si consolida c</w:t>
      </w:r>
      <w:r w:rsidR="005D4522">
        <w:rPr>
          <w:sz w:val="22"/>
        </w:rPr>
        <w:t>ome l</w:t>
      </w:r>
      <w:r w:rsidR="00612FB7">
        <w:rPr>
          <w:sz w:val="22"/>
        </w:rPr>
        <w:t>eva strategic</w:t>
      </w:r>
      <w:r w:rsidR="000479C3">
        <w:rPr>
          <w:sz w:val="22"/>
        </w:rPr>
        <w:t xml:space="preserve">a </w:t>
      </w:r>
      <w:r w:rsidR="00593942">
        <w:rPr>
          <w:sz w:val="22"/>
        </w:rPr>
        <w:t>sui mercati esteri p</w:t>
      </w:r>
      <w:r w:rsidR="004A3351">
        <w:rPr>
          <w:sz w:val="22"/>
        </w:rPr>
        <w:t>er il 56,0% delle imprese manifatturiere (</w:t>
      </w:r>
      <w:r w:rsidR="00D503EF">
        <w:rPr>
          <w:sz w:val="22"/>
        </w:rPr>
        <w:t>71,2</w:t>
      </w:r>
      <w:r w:rsidR="004A3351">
        <w:rPr>
          <w:sz w:val="22"/>
        </w:rPr>
        <w:t>% nella metalmeccanica</w:t>
      </w:r>
      <w:r w:rsidR="005D4522">
        <w:rPr>
          <w:sz w:val="22"/>
        </w:rPr>
        <w:t xml:space="preserve">), </w:t>
      </w:r>
      <w:r w:rsidR="003224BD">
        <w:rPr>
          <w:sz w:val="22"/>
        </w:rPr>
        <w:t>generando più valore e migliori p</w:t>
      </w:r>
      <w:r w:rsidR="00593942">
        <w:rPr>
          <w:sz w:val="22"/>
        </w:rPr>
        <w:t>erformance.</w:t>
      </w:r>
    </w:p>
    <w:p w14:paraId="4CE1E75B" w14:textId="77777777" w:rsidR="004203F3" w:rsidRDefault="004203F3" w:rsidP="00DF4C9B">
      <w:pPr>
        <w:tabs>
          <w:tab w:val="left" w:pos="9639"/>
        </w:tabs>
        <w:ind w:right="-1"/>
        <w:jc w:val="both"/>
        <w:rPr>
          <w:sz w:val="22"/>
        </w:rPr>
      </w:pPr>
    </w:p>
    <w:p w14:paraId="110DBA15" w14:textId="7E695C84" w:rsidR="0038153B" w:rsidRDefault="00126E93" w:rsidP="00126E93">
      <w:pPr>
        <w:tabs>
          <w:tab w:val="left" w:pos="9639"/>
        </w:tabs>
        <w:ind w:right="-1"/>
        <w:jc w:val="both"/>
        <w:rPr>
          <w:bCs/>
          <w:sz w:val="22"/>
        </w:rPr>
      </w:pPr>
      <w:r>
        <w:rPr>
          <w:sz w:val="22"/>
        </w:rPr>
        <w:t>È quanto emerge dal</w:t>
      </w:r>
      <w:r w:rsidR="00997869">
        <w:rPr>
          <w:sz w:val="22"/>
        </w:rPr>
        <w:t>l’</w:t>
      </w:r>
      <w:r w:rsidR="00842A99" w:rsidRPr="00842A99">
        <w:rPr>
          <w:b/>
          <w:bCs/>
          <w:sz w:val="22"/>
        </w:rPr>
        <w:t>Osservatorio Export 2025</w:t>
      </w:r>
      <w:r w:rsidR="00997869">
        <w:rPr>
          <w:b/>
          <w:bCs/>
          <w:sz w:val="22"/>
        </w:rPr>
        <w:t xml:space="preserve"> </w:t>
      </w:r>
      <w:r w:rsidR="00997869">
        <w:rPr>
          <w:i/>
          <w:iCs/>
          <w:sz w:val="22"/>
        </w:rPr>
        <w:t>S</w:t>
      </w:r>
      <w:r w:rsidR="00842A99" w:rsidRPr="00842A99">
        <w:rPr>
          <w:i/>
          <w:iCs/>
          <w:sz w:val="22"/>
        </w:rPr>
        <w:t>icurezza economic</w:t>
      </w:r>
      <w:r w:rsidR="009236FD">
        <w:rPr>
          <w:i/>
          <w:iCs/>
          <w:sz w:val="22"/>
        </w:rPr>
        <w:t xml:space="preserve">a, internazionalizzazione </w:t>
      </w:r>
      <w:r w:rsidR="00842A99" w:rsidRPr="00842A99">
        <w:rPr>
          <w:i/>
          <w:iCs/>
          <w:sz w:val="22"/>
        </w:rPr>
        <w:t>e integrazione dei servizi nel manifatturiero</w:t>
      </w:r>
      <w:r w:rsidR="00997869" w:rsidRPr="00997869">
        <w:rPr>
          <w:sz w:val="22"/>
        </w:rPr>
        <w:t xml:space="preserve"> </w:t>
      </w:r>
      <w:r w:rsidRPr="00997869">
        <w:rPr>
          <w:sz w:val="22"/>
        </w:rPr>
        <w:t xml:space="preserve">di </w:t>
      </w:r>
      <w:r w:rsidRPr="00593942">
        <w:rPr>
          <w:b/>
          <w:bCs/>
          <w:sz w:val="22"/>
        </w:rPr>
        <w:t>C</w:t>
      </w:r>
      <w:r w:rsidRPr="00F4497C">
        <w:rPr>
          <w:b/>
          <w:bCs/>
          <w:sz w:val="22"/>
        </w:rPr>
        <w:t xml:space="preserve">onfindustria Veneto </w:t>
      </w:r>
      <w:r w:rsidRPr="00842A99">
        <w:rPr>
          <w:b/>
          <w:bCs/>
          <w:sz w:val="22"/>
        </w:rPr>
        <w:t>Est</w:t>
      </w:r>
      <w:r w:rsidR="00F142A4">
        <w:rPr>
          <w:sz w:val="22"/>
        </w:rPr>
        <w:t xml:space="preserve">, curato da </w:t>
      </w:r>
      <w:r w:rsidR="00F142A4" w:rsidRPr="00F142A4">
        <w:rPr>
          <w:b/>
          <w:bCs/>
          <w:sz w:val="22"/>
        </w:rPr>
        <w:t>Fondazione Nord Est</w:t>
      </w:r>
      <w:r w:rsidR="00F142A4">
        <w:rPr>
          <w:sz w:val="22"/>
        </w:rPr>
        <w:t xml:space="preserve"> e </w:t>
      </w:r>
      <w:r w:rsidR="00F142A4" w:rsidRPr="00F142A4">
        <w:rPr>
          <w:b/>
          <w:bCs/>
          <w:sz w:val="22"/>
        </w:rPr>
        <w:t>SACE</w:t>
      </w:r>
      <w:r w:rsidR="00593942">
        <w:rPr>
          <w:sz w:val="22"/>
        </w:rPr>
        <w:t xml:space="preserve">, </w:t>
      </w:r>
      <w:r>
        <w:rPr>
          <w:sz w:val="22"/>
        </w:rPr>
        <w:t>realizzat</w:t>
      </w:r>
      <w:r w:rsidR="00C1134A">
        <w:rPr>
          <w:sz w:val="22"/>
        </w:rPr>
        <w:t>o</w:t>
      </w:r>
      <w:r w:rsidR="00AA4D92">
        <w:rPr>
          <w:sz w:val="22"/>
        </w:rPr>
        <w:t xml:space="preserve"> </w:t>
      </w:r>
      <w:r>
        <w:rPr>
          <w:sz w:val="22"/>
        </w:rPr>
        <w:t>su un c</w:t>
      </w:r>
      <w:r w:rsidR="00842A99">
        <w:rPr>
          <w:sz w:val="22"/>
        </w:rPr>
        <w:t>ampione di 786 imprese manifatturiere e di servizi delle province di Padova, Treviso, Venezia</w:t>
      </w:r>
      <w:r w:rsidR="00997869">
        <w:rPr>
          <w:sz w:val="22"/>
        </w:rPr>
        <w:t xml:space="preserve"> e </w:t>
      </w:r>
      <w:r w:rsidR="00842A99">
        <w:rPr>
          <w:sz w:val="22"/>
        </w:rPr>
        <w:t xml:space="preserve">Rovigo </w:t>
      </w:r>
      <w:r>
        <w:rPr>
          <w:sz w:val="22"/>
        </w:rPr>
        <w:t>che rappresentan</w:t>
      </w:r>
      <w:r w:rsidR="0038153B">
        <w:rPr>
          <w:sz w:val="22"/>
        </w:rPr>
        <w:t>o</w:t>
      </w:r>
      <w:r w:rsidR="003412F9">
        <w:rPr>
          <w:sz w:val="22"/>
        </w:rPr>
        <w:t xml:space="preserve"> </w:t>
      </w:r>
      <w:r w:rsidR="0038153B">
        <w:rPr>
          <w:sz w:val="22"/>
        </w:rPr>
        <w:t>circa metà d</w:t>
      </w:r>
      <w:r w:rsidR="00997869">
        <w:rPr>
          <w:sz w:val="22"/>
        </w:rPr>
        <w:t>ell’</w:t>
      </w:r>
      <w:r w:rsidR="0038153B">
        <w:rPr>
          <w:sz w:val="22"/>
        </w:rPr>
        <w:t>export</w:t>
      </w:r>
      <w:r w:rsidR="000F7C32">
        <w:rPr>
          <w:sz w:val="22"/>
        </w:rPr>
        <w:t xml:space="preserve"> veneto </w:t>
      </w:r>
      <w:r w:rsidR="0038153B">
        <w:rPr>
          <w:sz w:val="22"/>
        </w:rPr>
        <w:t>(37,2 m</w:t>
      </w:r>
      <w:r w:rsidR="00B23074">
        <w:rPr>
          <w:sz w:val="22"/>
        </w:rPr>
        <w:t>iliard</w:t>
      </w:r>
      <w:r w:rsidR="00997869">
        <w:rPr>
          <w:sz w:val="22"/>
        </w:rPr>
        <w:t xml:space="preserve">i </w:t>
      </w:r>
      <w:r w:rsidR="00B23074">
        <w:rPr>
          <w:sz w:val="22"/>
        </w:rPr>
        <w:t xml:space="preserve">euro </w:t>
      </w:r>
      <w:r w:rsidR="0038153B">
        <w:rPr>
          <w:sz w:val="22"/>
        </w:rPr>
        <w:t>nel 2024).</w:t>
      </w:r>
      <w:r w:rsidR="00F66AB3">
        <w:rPr>
          <w:sz w:val="22"/>
        </w:rPr>
        <w:t xml:space="preserve"> </w:t>
      </w:r>
      <w:r w:rsidR="00C843C5">
        <w:rPr>
          <w:bCs/>
          <w:sz w:val="22"/>
        </w:rPr>
        <w:t>L’indagin</w:t>
      </w:r>
      <w:r w:rsidR="00AA4D92">
        <w:rPr>
          <w:bCs/>
          <w:sz w:val="22"/>
        </w:rPr>
        <w:t>e</w:t>
      </w:r>
      <w:r w:rsidR="009759BD">
        <w:rPr>
          <w:bCs/>
          <w:sz w:val="22"/>
        </w:rPr>
        <w:t xml:space="preserve"> </w:t>
      </w:r>
      <w:r w:rsidR="00AA4D92">
        <w:rPr>
          <w:bCs/>
          <w:sz w:val="22"/>
        </w:rPr>
        <w:t>(</w:t>
      </w:r>
      <w:r w:rsidR="00F142A4">
        <w:rPr>
          <w:bCs/>
          <w:sz w:val="22"/>
        </w:rPr>
        <w:t>realizzata</w:t>
      </w:r>
      <w:r w:rsidR="009759BD">
        <w:rPr>
          <w:bCs/>
          <w:sz w:val="22"/>
        </w:rPr>
        <w:t xml:space="preserve"> </w:t>
      </w:r>
      <w:r w:rsidR="00F142A4">
        <w:rPr>
          <w:bCs/>
          <w:sz w:val="22"/>
        </w:rPr>
        <w:t>tra</w:t>
      </w:r>
      <w:r w:rsidR="009236FD">
        <w:rPr>
          <w:bCs/>
          <w:sz w:val="22"/>
        </w:rPr>
        <w:t xml:space="preserve"> </w:t>
      </w:r>
      <w:r w:rsidR="00F142A4">
        <w:rPr>
          <w:bCs/>
          <w:sz w:val="22"/>
        </w:rPr>
        <w:t>31 ottobr</w:t>
      </w:r>
      <w:r w:rsidR="00997869">
        <w:rPr>
          <w:bCs/>
          <w:sz w:val="22"/>
        </w:rPr>
        <w:t>e-</w:t>
      </w:r>
      <w:r w:rsidR="00F142A4">
        <w:rPr>
          <w:bCs/>
          <w:sz w:val="22"/>
        </w:rPr>
        <w:t>25</w:t>
      </w:r>
      <w:r w:rsidR="009759BD">
        <w:rPr>
          <w:bCs/>
          <w:sz w:val="22"/>
        </w:rPr>
        <w:t xml:space="preserve"> </w:t>
      </w:r>
      <w:r w:rsidR="00F142A4">
        <w:rPr>
          <w:bCs/>
          <w:sz w:val="22"/>
        </w:rPr>
        <w:t>novembre 2025</w:t>
      </w:r>
      <w:r w:rsidR="00AA4D92">
        <w:rPr>
          <w:bCs/>
          <w:sz w:val="22"/>
        </w:rPr>
        <w:t>)</w:t>
      </w:r>
      <w:r w:rsidR="00997869">
        <w:rPr>
          <w:bCs/>
          <w:sz w:val="22"/>
        </w:rPr>
        <w:t xml:space="preserve"> </w:t>
      </w:r>
      <w:r w:rsidR="00F142A4">
        <w:rPr>
          <w:bCs/>
          <w:sz w:val="22"/>
        </w:rPr>
        <w:t>approfondisce in particolare l’impatto dell’incertezza globale sulle decisioni strategiche e organizzative delle a</w:t>
      </w:r>
      <w:r w:rsidR="00E2162F">
        <w:rPr>
          <w:bCs/>
          <w:sz w:val="22"/>
        </w:rPr>
        <w:t>ziende, con focus su Germania e</w:t>
      </w:r>
      <w:r w:rsidR="009236FD">
        <w:rPr>
          <w:bCs/>
          <w:sz w:val="22"/>
        </w:rPr>
        <w:t xml:space="preserve"> Stati Unit</w:t>
      </w:r>
      <w:r w:rsidR="00997869">
        <w:rPr>
          <w:bCs/>
          <w:sz w:val="22"/>
        </w:rPr>
        <w:t xml:space="preserve">i, </w:t>
      </w:r>
      <w:r w:rsidR="00593942">
        <w:rPr>
          <w:bCs/>
          <w:sz w:val="22"/>
        </w:rPr>
        <w:t>e gli scenari 2026.</w:t>
      </w:r>
    </w:p>
    <w:p w14:paraId="20BCDD53" w14:textId="77777777" w:rsidR="00126E93" w:rsidRDefault="00126E93" w:rsidP="00126E93">
      <w:pPr>
        <w:tabs>
          <w:tab w:val="left" w:pos="9639"/>
        </w:tabs>
        <w:ind w:right="-1"/>
        <w:jc w:val="both"/>
        <w:rPr>
          <w:bCs/>
          <w:sz w:val="22"/>
        </w:rPr>
      </w:pPr>
    </w:p>
    <w:p w14:paraId="3AE2E31F" w14:textId="67266ED0" w:rsidR="00AC2ABB" w:rsidRPr="00AC2ABB" w:rsidRDefault="00AC2ABB" w:rsidP="00AC2ABB">
      <w:pPr>
        <w:tabs>
          <w:tab w:val="left" w:pos="9639"/>
        </w:tabs>
        <w:ind w:right="-1"/>
        <w:jc w:val="both"/>
        <w:rPr>
          <w:bCs/>
          <w:sz w:val="22"/>
          <w:szCs w:val="22"/>
        </w:rPr>
      </w:pPr>
      <w:r w:rsidRPr="00AC2ABB">
        <w:rPr>
          <w:bCs/>
          <w:sz w:val="22"/>
          <w:szCs w:val="22"/>
        </w:rPr>
        <w:t xml:space="preserve">L’evento di presentazione si è svolto oggi a Palazzo Giacomelli di Treviso. Sono intervenuti </w:t>
      </w:r>
      <w:r w:rsidRPr="00AC2ABB">
        <w:rPr>
          <w:b/>
          <w:bCs/>
          <w:sz w:val="22"/>
          <w:szCs w:val="22"/>
        </w:rPr>
        <w:t>Silvia Moretto</w:t>
      </w:r>
      <w:r w:rsidRPr="00AC2ABB">
        <w:rPr>
          <w:bCs/>
          <w:sz w:val="22"/>
          <w:szCs w:val="22"/>
        </w:rPr>
        <w:t xml:space="preserve"> Consigliere Delegata agli Affari Internazionali di Confindustria Veneto Est, </w:t>
      </w:r>
      <w:r w:rsidRPr="00AC2ABB">
        <w:rPr>
          <w:b/>
          <w:bCs/>
          <w:sz w:val="22"/>
          <w:szCs w:val="22"/>
        </w:rPr>
        <w:t xml:space="preserve">Marina Benedetti </w:t>
      </w:r>
      <w:r w:rsidRPr="00AC2ABB">
        <w:rPr>
          <w:bCs/>
          <w:sz w:val="22"/>
          <w:szCs w:val="22"/>
        </w:rPr>
        <w:t xml:space="preserve">Senior Economist Ufficio Studi SACE, </w:t>
      </w:r>
      <w:r w:rsidRPr="00AC2ABB">
        <w:rPr>
          <w:b/>
          <w:bCs/>
          <w:sz w:val="22"/>
          <w:szCs w:val="22"/>
        </w:rPr>
        <w:t>Gianluca Toschi</w:t>
      </w:r>
      <w:r w:rsidRPr="00AC2ABB">
        <w:rPr>
          <w:bCs/>
          <w:sz w:val="22"/>
          <w:szCs w:val="22"/>
        </w:rPr>
        <w:t xml:space="preserve"> Ricercatore Senior Fondazione Nord Est, </w:t>
      </w:r>
      <w:r w:rsidRPr="00AC2ABB">
        <w:rPr>
          <w:b/>
          <w:bCs/>
          <w:sz w:val="22"/>
          <w:szCs w:val="22"/>
        </w:rPr>
        <w:t>Sergio Pizzini</w:t>
      </w:r>
      <w:r w:rsidRPr="00AC2ABB">
        <w:rPr>
          <w:bCs/>
          <w:sz w:val="22"/>
          <w:szCs w:val="22"/>
        </w:rPr>
        <w:t xml:space="preserve"> Head CIO </w:t>
      </w:r>
      <w:proofErr w:type="spellStart"/>
      <w:r w:rsidRPr="00AC2ABB">
        <w:rPr>
          <w:bCs/>
          <w:sz w:val="22"/>
          <w:szCs w:val="22"/>
        </w:rPr>
        <w:t>Research</w:t>
      </w:r>
      <w:proofErr w:type="spellEnd"/>
      <w:r w:rsidRPr="00AC2ABB">
        <w:rPr>
          <w:bCs/>
          <w:sz w:val="22"/>
          <w:szCs w:val="22"/>
        </w:rPr>
        <w:t xml:space="preserve"> Equity &amp; Bond Deutsche Ban</w:t>
      </w:r>
      <w:r>
        <w:rPr>
          <w:bCs/>
          <w:sz w:val="22"/>
          <w:szCs w:val="22"/>
        </w:rPr>
        <w:t xml:space="preserve">k. I temi dell’Osservatorio e le esperienze di internazionalizzazione sono stati discussi con </w:t>
      </w:r>
      <w:r w:rsidRPr="00AC2ABB">
        <w:rPr>
          <w:b/>
          <w:bCs/>
          <w:sz w:val="22"/>
          <w:szCs w:val="22"/>
        </w:rPr>
        <w:t>Mauro Longo</w:t>
      </w:r>
      <w:r w:rsidRPr="00AC2ABB">
        <w:rPr>
          <w:bCs/>
          <w:sz w:val="22"/>
          <w:szCs w:val="22"/>
        </w:rPr>
        <w:t xml:space="preserve"> AD</w:t>
      </w:r>
      <w:r w:rsidR="00BB42B1">
        <w:rPr>
          <w:bCs/>
          <w:sz w:val="22"/>
          <w:szCs w:val="22"/>
        </w:rPr>
        <w:t xml:space="preserve"> </w:t>
      </w:r>
      <w:r w:rsidR="0065429C">
        <w:rPr>
          <w:bCs/>
          <w:sz w:val="22"/>
          <w:szCs w:val="22"/>
        </w:rPr>
        <w:t xml:space="preserve">di </w:t>
      </w:r>
      <w:r w:rsidR="009759BD">
        <w:rPr>
          <w:bCs/>
          <w:sz w:val="22"/>
          <w:szCs w:val="22"/>
        </w:rPr>
        <w:t xml:space="preserve">Ambiente 1985 Srl, </w:t>
      </w:r>
      <w:r w:rsidRPr="00AC2ABB">
        <w:rPr>
          <w:b/>
          <w:bCs/>
          <w:sz w:val="22"/>
          <w:szCs w:val="22"/>
        </w:rPr>
        <w:t xml:space="preserve">Renza Altoè </w:t>
      </w:r>
      <w:proofErr w:type="spellStart"/>
      <w:r w:rsidRPr="00AC2ABB">
        <w:rPr>
          <w:b/>
          <w:bCs/>
          <w:sz w:val="22"/>
          <w:szCs w:val="22"/>
        </w:rPr>
        <w:t>Garbelotto</w:t>
      </w:r>
      <w:proofErr w:type="spellEnd"/>
      <w:r w:rsidRPr="00AC2ABB">
        <w:rPr>
          <w:b/>
          <w:bCs/>
          <w:sz w:val="22"/>
          <w:szCs w:val="22"/>
        </w:rPr>
        <w:t xml:space="preserve"> </w:t>
      </w:r>
      <w:r w:rsidRPr="00AC2ABB">
        <w:rPr>
          <w:bCs/>
          <w:sz w:val="22"/>
          <w:szCs w:val="22"/>
        </w:rPr>
        <w:t>AD</w:t>
      </w:r>
      <w:r w:rsidR="00BB42B1">
        <w:rPr>
          <w:bCs/>
          <w:sz w:val="22"/>
          <w:szCs w:val="22"/>
        </w:rPr>
        <w:t xml:space="preserve"> </w:t>
      </w:r>
      <w:r w:rsidR="0065429C">
        <w:rPr>
          <w:bCs/>
          <w:sz w:val="22"/>
          <w:szCs w:val="22"/>
        </w:rPr>
        <w:t xml:space="preserve">di </w:t>
      </w:r>
      <w:proofErr w:type="spellStart"/>
      <w:r w:rsidR="009759BD">
        <w:rPr>
          <w:bCs/>
          <w:sz w:val="22"/>
          <w:szCs w:val="22"/>
        </w:rPr>
        <w:t>Parchettificio</w:t>
      </w:r>
      <w:proofErr w:type="spellEnd"/>
      <w:r w:rsidR="009759BD">
        <w:rPr>
          <w:bCs/>
          <w:sz w:val="22"/>
          <w:szCs w:val="22"/>
        </w:rPr>
        <w:t xml:space="preserve"> </w:t>
      </w:r>
      <w:proofErr w:type="spellStart"/>
      <w:r w:rsidR="009759BD">
        <w:rPr>
          <w:bCs/>
          <w:sz w:val="22"/>
          <w:szCs w:val="22"/>
        </w:rPr>
        <w:t>Garbelotto</w:t>
      </w:r>
      <w:proofErr w:type="spellEnd"/>
      <w:r w:rsidR="009759BD">
        <w:rPr>
          <w:bCs/>
          <w:sz w:val="22"/>
          <w:szCs w:val="22"/>
        </w:rPr>
        <w:t xml:space="preserve"> Srl, </w:t>
      </w:r>
      <w:r w:rsidRPr="00AC2ABB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 xml:space="preserve"> </w:t>
      </w:r>
      <w:proofErr w:type="gramStart"/>
      <w:r w:rsidRPr="00AC2ABB">
        <w:rPr>
          <w:bCs/>
          <w:sz w:val="22"/>
          <w:szCs w:val="22"/>
        </w:rPr>
        <w:t>Vice</w:t>
      </w:r>
      <w:r w:rsidR="00B23074">
        <w:rPr>
          <w:bCs/>
          <w:sz w:val="22"/>
          <w:szCs w:val="22"/>
        </w:rPr>
        <w:t xml:space="preserve"> </w:t>
      </w:r>
      <w:r w:rsidRPr="00AC2ABB">
        <w:rPr>
          <w:bCs/>
          <w:sz w:val="22"/>
          <w:szCs w:val="22"/>
        </w:rPr>
        <w:t>Presidente</w:t>
      </w:r>
      <w:proofErr w:type="gramEnd"/>
      <w:r w:rsidRPr="00AC2ABB">
        <w:rPr>
          <w:bCs/>
          <w:sz w:val="22"/>
          <w:szCs w:val="22"/>
        </w:rPr>
        <w:t xml:space="preserve"> e AD</w:t>
      </w:r>
      <w:r w:rsidR="00BB42B1">
        <w:rPr>
          <w:bCs/>
          <w:sz w:val="22"/>
          <w:szCs w:val="22"/>
        </w:rPr>
        <w:t xml:space="preserve"> </w:t>
      </w:r>
      <w:r w:rsidR="0065429C">
        <w:rPr>
          <w:bCs/>
          <w:sz w:val="22"/>
          <w:szCs w:val="22"/>
        </w:rPr>
        <w:t xml:space="preserve">di </w:t>
      </w:r>
      <w:r w:rsidRPr="00AC2ABB">
        <w:rPr>
          <w:bCs/>
          <w:sz w:val="22"/>
          <w:szCs w:val="22"/>
        </w:rPr>
        <w:t>PAL Srl</w:t>
      </w:r>
      <w:r w:rsidR="0065429C">
        <w:rPr>
          <w:bCs/>
          <w:sz w:val="22"/>
          <w:szCs w:val="22"/>
        </w:rPr>
        <w:t xml:space="preserve"> </w:t>
      </w:r>
      <w:r w:rsidRPr="00AC2ABB">
        <w:rPr>
          <w:b/>
          <w:bCs/>
          <w:sz w:val="22"/>
          <w:szCs w:val="22"/>
        </w:rPr>
        <w:t>Antonio Dal Ben</w:t>
      </w:r>
      <w:r w:rsidRPr="00AC2ABB">
        <w:rPr>
          <w:bCs/>
          <w:sz w:val="22"/>
          <w:szCs w:val="22"/>
        </w:rPr>
        <w:t xml:space="preserve">, </w:t>
      </w:r>
      <w:r w:rsidRPr="00AC2ABB">
        <w:rPr>
          <w:b/>
          <w:bCs/>
          <w:sz w:val="22"/>
          <w:szCs w:val="22"/>
        </w:rPr>
        <w:t>Stefano Solmi</w:t>
      </w:r>
      <w:r w:rsidRPr="00AC2ABB">
        <w:rPr>
          <w:bCs/>
          <w:sz w:val="22"/>
          <w:szCs w:val="22"/>
        </w:rPr>
        <w:t xml:space="preserve"> AD</w:t>
      </w:r>
      <w:r w:rsidR="00BB42B1">
        <w:rPr>
          <w:bCs/>
          <w:sz w:val="22"/>
          <w:szCs w:val="22"/>
        </w:rPr>
        <w:t xml:space="preserve"> </w:t>
      </w:r>
      <w:r w:rsidR="0065429C">
        <w:rPr>
          <w:bCs/>
          <w:sz w:val="22"/>
          <w:szCs w:val="22"/>
        </w:rPr>
        <w:t xml:space="preserve">di Orion Srl. </w:t>
      </w:r>
      <w:r w:rsidRPr="00AC2ABB">
        <w:rPr>
          <w:bCs/>
          <w:sz w:val="22"/>
          <w:szCs w:val="22"/>
        </w:rPr>
        <w:t xml:space="preserve">L’evento è stato moderato da </w:t>
      </w:r>
      <w:r w:rsidRPr="00AC2ABB">
        <w:rPr>
          <w:b/>
          <w:bCs/>
          <w:sz w:val="22"/>
          <w:szCs w:val="22"/>
        </w:rPr>
        <w:t>Katy Mandurino</w:t>
      </w:r>
      <w:r w:rsidRPr="00AC2ABB">
        <w:rPr>
          <w:bCs/>
          <w:sz w:val="22"/>
          <w:szCs w:val="22"/>
        </w:rPr>
        <w:t>, Giornalista economica.</w:t>
      </w:r>
    </w:p>
    <w:p w14:paraId="230083FB" w14:textId="77777777" w:rsidR="00AC2ABB" w:rsidRDefault="00AC2ABB" w:rsidP="00126E93">
      <w:pPr>
        <w:tabs>
          <w:tab w:val="left" w:pos="9639"/>
        </w:tabs>
        <w:ind w:right="-1"/>
        <w:jc w:val="both"/>
        <w:rPr>
          <w:bCs/>
          <w:sz w:val="22"/>
        </w:rPr>
      </w:pPr>
    </w:p>
    <w:p w14:paraId="3D0BD875" w14:textId="2A9C7734" w:rsidR="00064B36" w:rsidRPr="005B18D8" w:rsidRDefault="00585D01" w:rsidP="00B910A2">
      <w:pPr>
        <w:tabs>
          <w:tab w:val="left" w:pos="9639"/>
        </w:tabs>
        <w:ind w:right="-1"/>
        <w:jc w:val="both"/>
        <w:rPr>
          <w:bCs/>
          <w:i/>
          <w:iCs/>
          <w:sz w:val="22"/>
        </w:rPr>
      </w:pPr>
      <w:r w:rsidRPr="005B18D8">
        <w:rPr>
          <w:bCs/>
          <w:i/>
          <w:iCs/>
          <w:sz w:val="22"/>
        </w:rPr>
        <w:t>«</w:t>
      </w:r>
      <w:r w:rsidR="0023658E" w:rsidRPr="005B18D8">
        <w:rPr>
          <w:bCs/>
          <w:i/>
          <w:iCs/>
          <w:sz w:val="22"/>
        </w:rPr>
        <w:t>In uno scenario di caos global</w:t>
      </w:r>
      <w:r w:rsidR="00AA2939" w:rsidRPr="005B18D8">
        <w:rPr>
          <w:bCs/>
          <w:i/>
          <w:iCs/>
          <w:sz w:val="22"/>
        </w:rPr>
        <w:t>e, dall’Osservatorio emerge con f</w:t>
      </w:r>
      <w:r w:rsidR="009072AB" w:rsidRPr="005B18D8">
        <w:rPr>
          <w:bCs/>
          <w:i/>
          <w:iCs/>
          <w:sz w:val="22"/>
        </w:rPr>
        <w:t>orza che le impres</w:t>
      </w:r>
      <w:r w:rsidR="00593942">
        <w:rPr>
          <w:bCs/>
          <w:i/>
          <w:iCs/>
          <w:sz w:val="22"/>
        </w:rPr>
        <w:t xml:space="preserve">e del nostro territorio internazionalizzate </w:t>
      </w:r>
      <w:r w:rsidR="009072AB" w:rsidRPr="005B18D8">
        <w:rPr>
          <w:bCs/>
          <w:i/>
          <w:iCs/>
          <w:sz w:val="22"/>
        </w:rPr>
        <w:t>sono consapevoli delle sfide e capaci di adattare l</w:t>
      </w:r>
      <w:r w:rsidR="00C81DC5">
        <w:rPr>
          <w:bCs/>
          <w:i/>
          <w:iCs/>
          <w:sz w:val="22"/>
        </w:rPr>
        <w:t xml:space="preserve">e </w:t>
      </w:r>
      <w:r w:rsidR="009072AB" w:rsidRPr="005B18D8">
        <w:rPr>
          <w:bCs/>
          <w:i/>
          <w:iCs/>
          <w:sz w:val="22"/>
        </w:rPr>
        <w:t xml:space="preserve">strategie ai cambiamenti e agli shock </w:t>
      </w:r>
      <w:r w:rsidR="00AA2939" w:rsidRPr="005B18D8">
        <w:rPr>
          <w:bCs/>
          <w:sz w:val="22"/>
        </w:rPr>
        <w:t xml:space="preserve">- dichiara </w:t>
      </w:r>
      <w:r w:rsidRPr="005B18D8">
        <w:rPr>
          <w:b/>
          <w:sz w:val="22"/>
        </w:rPr>
        <w:t>Silvia Moretto, Consigliere Delegat</w:t>
      </w:r>
      <w:r w:rsidR="00AA2939" w:rsidRPr="005B18D8">
        <w:rPr>
          <w:b/>
          <w:sz w:val="22"/>
        </w:rPr>
        <w:t xml:space="preserve">a agli Affari Internazionali di Confindustria Veneto Est </w:t>
      </w:r>
      <w:r w:rsidRPr="005B18D8">
        <w:rPr>
          <w:bCs/>
          <w:sz w:val="22"/>
        </w:rPr>
        <w:t>-</w:t>
      </w:r>
      <w:r w:rsidR="00AA2939" w:rsidRPr="005B18D8">
        <w:rPr>
          <w:bCs/>
          <w:i/>
          <w:iCs/>
          <w:sz w:val="22"/>
        </w:rPr>
        <w:t>.</w:t>
      </w:r>
      <w:r w:rsidR="00B02FB8" w:rsidRPr="005B18D8">
        <w:rPr>
          <w:bCs/>
          <w:i/>
          <w:iCs/>
          <w:sz w:val="22"/>
        </w:rPr>
        <w:t xml:space="preserve"> </w:t>
      </w:r>
      <w:r w:rsidR="00192951">
        <w:rPr>
          <w:bCs/>
          <w:i/>
          <w:iCs/>
          <w:sz w:val="22"/>
        </w:rPr>
        <w:lastRenderedPageBreak/>
        <w:t xml:space="preserve">L’apertura ai mercati è una scelta strategica per le nostre aziende, </w:t>
      </w:r>
      <w:r w:rsidR="00D164E2">
        <w:rPr>
          <w:bCs/>
          <w:i/>
          <w:iCs/>
          <w:sz w:val="22"/>
        </w:rPr>
        <w:t>che reali</w:t>
      </w:r>
      <w:r w:rsidR="005A5174">
        <w:rPr>
          <w:bCs/>
          <w:i/>
          <w:iCs/>
          <w:sz w:val="22"/>
        </w:rPr>
        <w:t xml:space="preserve">zzano il 40% del fatturato all’estero, </w:t>
      </w:r>
      <w:r w:rsidR="00064B36" w:rsidRPr="005B18D8">
        <w:rPr>
          <w:bCs/>
          <w:i/>
          <w:iCs/>
          <w:sz w:val="22"/>
        </w:rPr>
        <w:t>nonostante tensioni geopolitich</w:t>
      </w:r>
      <w:r w:rsidR="00FA479B">
        <w:rPr>
          <w:bCs/>
          <w:i/>
          <w:iCs/>
          <w:sz w:val="22"/>
        </w:rPr>
        <w:t xml:space="preserve">e, nuovo protezionismo e crisi tedesca, </w:t>
      </w:r>
      <w:r w:rsidR="00751597" w:rsidRPr="005B18D8">
        <w:rPr>
          <w:bCs/>
          <w:i/>
          <w:iCs/>
          <w:sz w:val="22"/>
        </w:rPr>
        <w:t>grazie alla loro capacità competitiv</w:t>
      </w:r>
      <w:r w:rsidR="00012E81">
        <w:rPr>
          <w:bCs/>
          <w:i/>
          <w:iCs/>
          <w:sz w:val="22"/>
        </w:rPr>
        <w:t xml:space="preserve">a. </w:t>
      </w:r>
      <w:r w:rsidR="009013F2" w:rsidRPr="005B18D8">
        <w:rPr>
          <w:bCs/>
          <w:i/>
          <w:iCs/>
          <w:sz w:val="22"/>
        </w:rPr>
        <w:t>Ma occorre fare di più per sostenerle nel tentativ</w:t>
      </w:r>
      <w:r w:rsidR="00067BBA">
        <w:rPr>
          <w:bCs/>
          <w:i/>
          <w:iCs/>
          <w:sz w:val="22"/>
        </w:rPr>
        <w:t>o</w:t>
      </w:r>
      <w:r w:rsidR="005E0FD3">
        <w:rPr>
          <w:bCs/>
          <w:i/>
          <w:iCs/>
          <w:sz w:val="22"/>
        </w:rPr>
        <w:t xml:space="preserve"> </w:t>
      </w:r>
      <w:r w:rsidR="00067BBA">
        <w:rPr>
          <w:bCs/>
          <w:i/>
          <w:iCs/>
          <w:sz w:val="22"/>
        </w:rPr>
        <w:t xml:space="preserve">di cogliere il cambiamento in atto. </w:t>
      </w:r>
      <w:r w:rsidR="00B23074" w:rsidRPr="005B18D8">
        <w:rPr>
          <w:bCs/>
          <w:i/>
          <w:iCs/>
          <w:sz w:val="22"/>
        </w:rPr>
        <w:t>È necessaria, in particolare, una politica industriale capace di far fronte alle nuove frontiere dell’innovazione e dell’I</w:t>
      </w:r>
      <w:r w:rsidR="001810BB" w:rsidRPr="005B18D8">
        <w:rPr>
          <w:bCs/>
          <w:i/>
          <w:iCs/>
          <w:sz w:val="22"/>
        </w:rPr>
        <w:t>A</w:t>
      </w:r>
      <w:r w:rsidR="007025C8">
        <w:rPr>
          <w:bCs/>
          <w:i/>
          <w:iCs/>
          <w:sz w:val="22"/>
        </w:rPr>
        <w:t>. E una strategia di sistema,</w:t>
      </w:r>
      <w:r w:rsidR="00067BBA">
        <w:rPr>
          <w:bCs/>
          <w:i/>
          <w:iCs/>
          <w:sz w:val="22"/>
        </w:rPr>
        <w:t xml:space="preserve"> </w:t>
      </w:r>
      <w:r w:rsidR="00751597" w:rsidRPr="005B18D8">
        <w:rPr>
          <w:bCs/>
          <w:i/>
          <w:iCs/>
          <w:sz w:val="22"/>
        </w:rPr>
        <w:t>pubblico-privat</w:t>
      </w:r>
      <w:r w:rsidR="005E0FD3">
        <w:rPr>
          <w:bCs/>
          <w:i/>
          <w:iCs/>
          <w:sz w:val="22"/>
        </w:rPr>
        <w:t xml:space="preserve">o, per accompagnarle </w:t>
      </w:r>
      <w:r w:rsidR="009013F2" w:rsidRPr="005B18D8">
        <w:rPr>
          <w:bCs/>
          <w:i/>
          <w:iCs/>
          <w:sz w:val="22"/>
        </w:rPr>
        <w:t>verso nuovi mercati ad alto potenziale e</w:t>
      </w:r>
      <w:r w:rsidR="005E0FD3">
        <w:rPr>
          <w:bCs/>
          <w:i/>
          <w:iCs/>
          <w:sz w:val="22"/>
        </w:rPr>
        <w:t xml:space="preserve"> </w:t>
      </w:r>
      <w:r w:rsidR="009013F2" w:rsidRPr="005B18D8">
        <w:rPr>
          <w:bCs/>
          <w:i/>
          <w:iCs/>
          <w:sz w:val="22"/>
        </w:rPr>
        <w:t>rafforzare la competitività di lungo periodo.</w:t>
      </w:r>
      <w:r w:rsidR="00FA479B">
        <w:rPr>
          <w:bCs/>
          <w:i/>
          <w:iCs/>
          <w:sz w:val="22"/>
        </w:rPr>
        <w:t xml:space="preserve"> </w:t>
      </w:r>
      <w:r w:rsidR="005B18D8" w:rsidRPr="005B18D8">
        <w:rPr>
          <w:bCs/>
          <w:i/>
          <w:iCs/>
          <w:sz w:val="22"/>
        </w:rPr>
        <w:t>In questo quadr</w:t>
      </w:r>
      <w:r w:rsidR="00FA479B">
        <w:rPr>
          <w:bCs/>
          <w:i/>
          <w:iCs/>
          <w:sz w:val="22"/>
        </w:rPr>
        <w:t>o, accordi</w:t>
      </w:r>
      <w:r w:rsidR="005E0FD3">
        <w:rPr>
          <w:bCs/>
          <w:i/>
          <w:iCs/>
          <w:sz w:val="22"/>
        </w:rPr>
        <w:t xml:space="preserve"> </w:t>
      </w:r>
      <w:r w:rsidR="00FA479B">
        <w:rPr>
          <w:bCs/>
          <w:i/>
          <w:iCs/>
          <w:sz w:val="22"/>
        </w:rPr>
        <w:t>ambiziosi come quelli U</w:t>
      </w:r>
      <w:r w:rsidR="00FA637A">
        <w:rPr>
          <w:bCs/>
          <w:i/>
          <w:iCs/>
          <w:sz w:val="22"/>
        </w:rPr>
        <w:t>e</w:t>
      </w:r>
      <w:r w:rsidR="00FA479B">
        <w:rPr>
          <w:bCs/>
          <w:i/>
          <w:iCs/>
          <w:sz w:val="22"/>
        </w:rPr>
        <w:t>-Mercosur</w:t>
      </w:r>
      <w:r w:rsidR="005560AC">
        <w:rPr>
          <w:bCs/>
          <w:i/>
          <w:iCs/>
          <w:sz w:val="22"/>
        </w:rPr>
        <w:t>, che va attivato s</w:t>
      </w:r>
      <w:r w:rsidR="005E0FD3">
        <w:rPr>
          <w:bCs/>
          <w:i/>
          <w:iCs/>
          <w:sz w:val="22"/>
        </w:rPr>
        <w:t xml:space="preserve">enza altro indugio, </w:t>
      </w:r>
      <w:r w:rsidR="005560AC">
        <w:rPr>
          <w:bCs/>
          <w:i/>
          <w:iCs/>
          <w:sz w:val="22"/>
        </w:rPr>
        <w:t xml:space="preserve">e con l’India, </w:t>
      </w:r>
      <w:r w:rsidR="00FA479B">
        <w:rPr>
          <w:bCs/>
          <w:i/>
          <w:iCs/>
          <w:sz w:val="22"/>
        </w:rPr>
        <w:t>sono un moltiplicatore di opportunità anche per il nostro territorio, perché apron</w:t>
      </w:r>
      <w:r w:rsidR="005E0FD3">
        <w:rPr>
          <w:bCs/>
          <w:i/>
          <w:iCs/>
          <w:sz w:val="22"/>
        </w:rPr>
        <w:t>o s</w:t>
      </w:r>
      <w:r w:rsidR="005A5174">
        <w:rPr>
          <w:bCs/>
          <w:i/>
          <w:iCs/>
          <w:sz w:val="22"/>
        </w:rPr>
        <w:t xml:space="preserve">pazi rilevanti di sviluppo </w:t>
      </w:r>
      <w:r w:rsidR="005E0FD3">
        <w:rPr>
          <w:bCs/>
          <w:i/>
          <w:iCs/>
          <w:sz w:val="22"/>
        </w:rPr>
        <w:t>e partnershi</w:t>
      </w:r>
      <w:r w:rsidR="00192951">
        <w:rPr>
          <w:bCs/>
          <w:i/>
          <w:iCs/>
          <w:sz w:val="22"/>
        </w:rPr>
        <w:t>p</w:t>
      </w:r>
      <w:r w:rsidR="00F656BC">
        <w:rPr>
          <w:bCs/>
          <w:i/>
          <w:iCs/>
          <w:sz w:val="22"/>
        </w:rPr>
        <w:t xml:space="preserve"> </w:t>
      </w:r>
      <w:r w:rsidR="005560AC">
        <w:rPr>
          <w:bCs/>
          <w:i/>
          <w:iCs/>
          <w:sz w:val="22"/>
        </w:rPr>
        <w:t>e riducono dazi che o</w:t>
      </w:r>
      <w:r w:rsidR="00FA637A">
        <w:rPr>
          <w:bCs/>
          <w:i/>
          <w:iCs/>
          <w:sz w:val="22"/>
        </w:rPr>
        <w:t xml:space="preserve">ggi penalizzano fortemente le nostre imprese. </w:t>
      </w:r>
      <w:r w:rsidR="007025C8">
        <w:rPr>
          <w:bCs/>
          <w:i/>
          <w:iCs/>
          <w:sz w:val="22"/>
        </w:rPr>
        <w:t>Come Confindustria Veneto E</w:t>
      </w:r>
      <w:r w:rsidR="005560AC">
        <w:rPr>
          <w:bCs/>
          <w:i/>
          <w:iCs/>
          <w:sz w:val="22"/>
        </w:rPr>
        <w:t>st, ci concentrerem</w:t>
      </w:r>
      <w:r w:rsidR="00F656BC">
        <w:rPr>
          <w:bCs/>
          <w:i/>
          <w:iCs/>
          <w:sz w:val="22"/>
        </w:rPr>
        <w:t>o sul supporto alle imprese nel presidio di questi mercati, a</w:t>
      </w:r>
      <w:r w:rsidR="005560AC">
        <w:rPr>
          <w:bCs/>
          <w:i/>
          <w:iCs/>
          <w:sz w:val="22"/>
        </w:rPr>
        <w:t>nche con approcci di filiera, v</w:t>
      </w:r>
      <w:r w:rsidR="00F656BC">
        <w:rPr>
          <w:bCs/>
          <w:i/>
          <w:iCs/>
          <w:sz w:val="22"/>
        </w:rPr>
        <w:t xml:space="preserve">alorizzando l’esperienza e </w:t>
      </w:r>
      <w:r w:rsidR="005560AC">
        <w:rPr>
          <w:bCs/>
          <w:i/>
          <w:iCs/>
          <w:sz w:val="22"/>
        </w:rPr>
        <w:t>l’eccellen</w:t>
      </w:r>
      <w:r w:rsidR="005E0FD3">
        <w:rPr>
          <w:bCs/>
          <w:i/>
          <w:iCs/>
          <w:sz w:val="22"/>
        </w:rPr>
        <w:t xml:space="preserve">za di prodotti e servizi come quelli delle aziende </w:t>
      </w:r>
      <w:proofErr w:type="spellStart"/>
      <w:r w:rsidR="005E0FD3">
        <w:rPr>
          <w:bCs/>
          <w:i/>
          <w:iCs/>
          <w:sz w:val="22"/>
        </w:rPr>
        <w:t>Exporter</w:t>
      </w:r>
      <w:proofErr w:type="spellEnd"/>
      <w:r w:rsidR="00C81DC5">
        <w:rPr>
          <w:bCs/>
          <w:i/>
          <w:iCs/>
          <w:sz w:val="22"/>
        </w:rPr>
        <w:t xml:space="preserve"> </w:t>
      </w:r>
      <w:r w:rsidR="005E0FD3">
        <w:rPr>
          <w:bCs/>
          <w:i/>
          <w:iCs/>
          <w:sz w:val="22"/>
        </w:rPr>
        <w:t xml:space="preserve">of the </w:t>
      </w:r>
      <w:proofErr w:type="spellStart"/>
      <w:r w:rsidR="005E0FD3">
        <w:rPr>
          <w:bCs/>
          <w:i/>
          <w:iCs/>
          <w:sz w:val="22"/>
        </w:rPr>
        <w:t>Year</w:t>
      </w:r>
      <w:proofErr w:type="spellEnd"/>
      <w:r w:rsidR="005E0FD3">
        <w:rPr>
          <w:bCs/>
          <w:i/>
          <w:iCs/>
          <w:sz w:val="22"/>
        </w:rPr>
        <w:t>, per aumentare ancor più la competitività e il ruolo del Made in Italy nel mondo</w:t>
      </w:r>
      <w:r w:rsidR="007025C8" w:rsidRPr="007025C8">
        <w:rPr>
          <w:bCs/>
          <w:i/>
          <w:iCs/>
          <w:sz w:val="22"/>
        </w:rPr>
        <w:t>»</w:t>
      </w:r>
      <w:r w:rsidR="007025C8" w:rsidRPr="007025C8">
        <w:rPr>
          <w:bCs/>
          <w:sz w:val="22"/>
        </w:rPr>
        <w:t>.</w:t>
      </w:r>
      <w:r w:rsidR="00064B36" w:rsidRPr="005B18D8">
        <w:rPr>
          <w:bCs/>
          <w:i/>
          <w:iCs/>
          <w:sz w:val="22"/>
        </w:rPr>
        <w:t xml:space="preserve"> </w:t>
      </w:r>
    </w:p>
    <w:p w14:paraId="4C20D764" w14:textId="77777777" w:rsidR="00064B36" w:rsidRDefault="00064B36" w:rsidP="00B910A2">
      <w:pPr>
        <w:tabs>
          <w:tab w:val="left" w:pos="9639"/>
        </w:tabs>
        <w:ind w:right="-1"/>
        <w:jc w:val="both"/>
        <w:rPr>
          <w:bCs/>
          <w:sz w:val="22"/>
        </w:rPr>
      </w:pPr>
    </w:p>
    <w:p w14:paraId="46447C7F" w14:textId="3C4EBD84" w:rsidR="00CC3E59" w:rsidRDefault="00CC3E59" w:rsidP="00CC3E59">
      <w:pPr>
        <w:tabs>
          <w:tab w:val="left" w:pos="9639"/>
        </w:tabs>
        <w:ind w:right="-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Nel corso dell’evento è stato assegnato il </w:t>
      </w:r>
      <w:r w:rsidR="00A53763">
        <w:rPr>
          <w:b/>
          <w:sz w:val="22"/>
          <w:szCs w:val="22"/>
        </w:rPr>
        <w:t xml:space="preserve">Premio </w:t>
      </w:r>
      <w:proofErr w:type="spellStart"/>
      <w:r w:rsidR="00A53763">
        <w:rPr>
          <w:b/>
          <w:sz w:val="22"/>
          <w:szCs w:val="22"/>
        </w:rPr>
        <w:t>Exporter</w:t>
      </w:r>
      <w:proofErr w:type="spellEnd"/>
      <w:r w:rsidR="00A53763">
        <w:rPr>
          <w:b/>
          <w:sz w:val="22"/>
          <w:szCs w:val="22"/>
        </w:rPr>
        <w:t xml:space="preserve"> of the </w:t>
      </w:r>
      <w:proofErr w:type="spellStart"/>
      <w:r w:rsidR="00A53763">
        <w:rPr>
          <w:b/>
          <w:sz w:val="22"/>
          <w:szCs w:val="22"/>
        </w:rPr>
        <w:t>Y</w:t>
      </w:r>
      <w:r w:rsidR="002E32F7">
        <w:rPr>
          <w:b/>
          <w:sz w:val="22"/>
          <w:szCs w:val="22"/>
        </w:rPr>
        <w:t>ear</w:t>
      </w:r>
      <w:proofErr w:type="spellEnd"/>
      <w:r w:rsidR="002E32F7">
        <w:rPr>
          <w:b/>
          <w:sz w:val="22"/>
          <w:szCs w:val="22"/>
        </w:rPr>
        <w:t xml:space="preserve"> 2025 </w:t>
      </w:r>
      <w:r>
        <w:rPr>
          <w:bCs/>
          <w:sz w:val="22"/>
          <w:szCs w:val="22"/>
        </w:rPr>
        <w:t>riservato ad aziende partecipanti alla ricerca che si sono distinte</w:t>
      </w:r>
      <w:r w:rsidR="00C32145">
        <w:rPr>
          <w:bCs/>
          <w:sz w:val="22"/>
          <w:szCs w:val="22"/>
        </w:rPr>
        <w:t xml:space="preserve"> per la performance sui mercati interna</w:t>
      </w:r>
      <w:r w:rsidR="00BE64E5">
        <w:rPr>
          <w:bCs/>
          <w:sz w:val="22"/>
          <w:szCs w:val="22"/>
        </w:rPr>
        <w:t xml:space="preserve">zionali. </w:t>
      </w:r>
      <w:r w:rsidRPr="003B2F32">
        <w:rPr>
          <w:bCs/>
          <w:sz w:val="22"/>
          <w:szCs w:val="22"/>
        </w:rPr>
        <w:t xml:space="preserve">Per la categoria </w:t>
      </w:r>
      <w:r w:rsidRPr="003B2F32">
        <w:rPr>
          <w:bCs/>
          <w:i/>
          <w:iCs/>
          <w:sz w:val="22"/>
          <w:szCs w:val="22"/>
        </w:rPr>
        <w:t>Grandi Imprese</w:t>
      </w:r>
      <w:r w:rsidRPr="003B2F32">
        <w:rPr>
          <w:bCs/>
          <w:sz w:val="22"/>
          <w:szCs w:val="22"/>
        </w:rPr>
        <w:t xml:space="preserve"> ha vint</w:t>
      </w:r>
      <w:r w:rsidR="00FA637A">
        <w:rPr>
          <w:bCs/>
          <w:sz w:val="22"/>
          <w:szCs w:val="22"/>
        </w:rPr>
        <w:t xml:space="preserve">o </w:t>
      </w:r>
      <w:r w:rsidR="00FA637A" w:rsidRPr="00FA637A">
        <w:rPr>
          <w:b/>
          <w:sz w:val="22"/>
          <w:szCs w:val="22"/>
        </w:rPr>
        <w:t>PAL Srl</w:t>
      </w:r>
      <w:r w:rsidR="00FA637A">
        <w:rPr>
          <w:bCs/>
          <w:sz w:val="22"/>
          <w:szCs w:val="22"/>
        </w:rPr>
        <w:t xml:space="preserve">; </w:t>
      </w:r>
      <w:r w:rsidRPr="003B2F32">
        <w:rPr>
          <w:bCs/>
          <w:sz w:val="22"/>
          <w:szCs w:val="22"/>
        </w:rPr>
        <w:t xml:space="preserve">per la categoria </w:t>
      </w:r>
      <w:r w:rsidRPr="002D46FA">
        <w:rPr>
          <w:bCs/>
          <w:i/>
          <w:iCs/>
          <w:sz w:val="22"/>
          <w:szCs w:val="22"/>
        </w:rPr>
        <w:t>Piccole e Medie Imprese</w:t>
      </w:r>
      <w:r>
        <w:rPr>
          <w:bCs/>
          <w:sz w:val="22"/>
          <w:szCs w:val="22"/>
        </w:rPr>
        <w:t xml:space="preserve"> premio </w:t>
      </w:r>
      <w:r w:rsidR="00FA637A">
        <w:rPr>
          <w:bCs/>
          <w:sz w:val="22"/>
          <w:szCs w:val="22"/>
        </w:rPr>
        <w:t xml:space="preserve">a </w:t>
      </w:r>
      <w:proofErr w:type="spellStart"/>
      <w:r w:rsidR="00FA637A" w:rsidRPr="00FA637A">
        <w:rPr>
          <w:b/>
          <w:sz w:val="22"/>
          <w:szCs w:val="22"/>
        </w:rPr>
        <w:t>Parchettificio</w:t>
      </w:r>
      <w:proofErr w:type="spellEnd"/>
      <w:r w:rsidR="00FA637A" w:rsidRPr="00FA637A">
        <w:rPr>
          <w:b/>
          <w:sz w:val="22"/>
          <w:szCs w:val="22"/>
        </w:rPr>
        <w:t xml:space="preserve"> </w:t>
      </w:r>
      <w:proofErr w:type="spellStart"/>
      <w:r w:rsidR="00FA637A" w:rsidRPr="00FA637A">
        <w:rPr>
          <w:b/>
          <w:sz w:val="22"/>
          <w:szCs w:val="22"/>
        </w:rPr>
        <w:t>Garbelotto</w:t>
      </w:r>
      <w:proofErr w:type="spellEnd"/>
      <w:r w:rsidR="00FA637A" w:rsidRPr="00FA637A">
        <w:rPr>
          <w:b/>
          <w:sz w:val="22"/>
          <w:szCs w:val="22"/>
        </w:rPr>
        <w:t xml:space="preserve"> Srl</w:t>
      </w:r>
      <w:r w:rsidR="00FA637A">
        <w:rPr>
          <w:bCs/>
          <w:sz w:val="22"/>
          <w:szCs w:val="22"/>
        </w:rPr>
        <w:t xml:space="preserve">; </w:t>
      </w:r>
      <w:r>
        <w:rPr>
          <w:bCs/>
          <w:sz w:val="22"/>
          <w:szCs w:val="22"/>
        </w:rPr>
        <w:t xml:space="preserve">nella categoria </w:t>
      </w:r>
      <w:proofErr w:type="spellStart"/>
      <w:r w:rsidRPr="002D46FA">
        <w:rPr>
          <w:bCs/>
          <w:i/>
          <w:iCs/>
          <w:sz w:val="22"/>
          <w:szCs w:val="22"/>
        </w:rPr>
        <w:t>Beginners</w:t>
      </w:r>
      <w:proofErr w:type="spellEnd"/>
      <w:r>
        <w:rPr>
          <w:bCs/>
          <w:sz w:val="22"/>
          <w:szCs w:val="22"/>
        </w:rPr>
        <w:t xml:space="preserve"> (aziende con esperienza più recente sui mercati esteri) ha vint</w:t>
      </w:r>
      <w:r w:rsidR="00FA637A">
        <w:rPr>
          <w:bCs/>
          <w:sz w:val="22"/>
          <w:szCs w:val="22"/>
        </w:rPr>
        <w:t xml:space="preserve">o </w:t>
      </w:r>
      <w:r w:rsidR="00FA637A" w:rsidRPr="00FA637A">
        <w:rPr>
          <w:b/>
          <w:sz w:val="22"/>
          <w:szCs w:val="22"/>
        </w:rPr>
        <w:t>Ambiente 1985 Srl</w:t>
      </w:r>
      <w:r w:rsidR="00B47EF7">
        <w:rPr>
          <w:bCs/>
          <w:sz w:val="22"/>
          <w:szCs w:val="22"/>
        </w:rPr>
        <w:t xml:space="preserve">. Menzione speciale nella categoria </w:t>
      </w:r>
      <w:r w:rsidR="00FA637A" w:rsidRPr="00FA637A">
        <w:rPr>
          <w:bCs/>
          <w:i/>
          <w:iCs/>
          <w:sz w:val="22"/>
          <w:szCs w:val="22"/>
        </w:rPr>
        <w:t>Servizi</w:t>
      </w:r>
      <w:r w:rsidR="00B47EF7">
        <w:rPr>
          <w:bCs/>
          <w:i/>
          <w:iCs/>
          <w:sz w:val="22"/>
          <w:szCs w:val="22"/>
        </w:rPr>
        <w:t xml:space="preserve"> </w:t>
      </w:r>
      <w:r w:rsidR="00B47EF7">
        <w:rPr>
          <w:bCs/>
          <w:sz w:val="22"/>
          <w:szCs w:val="22"/>
        </w:rPr>
        <w:t xml:space="preserve">a </w:t>
      </w:r>
      <w:r w:rsidR="00FA637A" w:rsidRPr="00FA637A">
        <w:rPr>
          <w:b/>
          <w:sz w:val="22"/>
          <w:szCs w:val="22"/>
        </w:rPr>
        <w:t>Orion Srl</w:t>
      </w:r>
      <w:r w:rsidR="00FA637A" w:rsidRPr="00FA637A">
        <w:rPr>
          <w:bCs/>
          <w:sz w:val="22"/>
          <w:szCs w:val="22"/>
        </w:rPr>
        <w:t>.</w:t>
      </w:r>
    </w:p>
    <w:p w14:paraId="233C8B11" w14:textId="77777777" w:rsidR="00CC3E59" w:rsidRDefault="00CC3E59" w:rsidP="00126E93">
      <w:pPr>
        <w:tabs>
          <w:tab w:val="left" w:pos="9639"/>
        </w:tabs>
        <w:ind w:right="-1"/>
        <w:jc w:val="both"/>
        <w:rPr>
          <w:bCs/>
          <w:sz w:val="22"/>
          <w:szCs w:val="22"/>
        </w:rPr>
      </w:pPr>
    </w:p>
    <w:p w14:paraId="531F3236" w14:textId="03B947EC" w:rsidR="00126E93" w:rsidRPr="00A53763" w:rsidRDefault="00EE7F8F" w:rsidP="00EE7F8F">
      <w:pPr>
        <w:pStyle w:val="NormaleWeb"/>
        <w:tabs>
          <w:tab w:val="left" w:pos="9072"/>
        </w:tabs>
        <w:overflowPunct w:val="0"/>
        <w:jc w:val="both"/>
        <w:textAlignment w:val="baseline"/>
        <w:rPr>
          <w:b/>
        </w:rPr>
      </w:pPr>
      <w:r>
        <w:rPr>
          <w:b/>
          <w:bCs/>
          <w:color w:val="002060"/>
        </w:rPr>
        <w:t>I principali risultati dell’Indagine Osservatorio Export 2025</w:t>
      </w:r>
    </w:p>
    <w:p w14:paraId="608747D3" w14:textId="77777777" w:rsidR="00126E93" w:rsidRDefault="00126E93" w:rsidP="00DF4C9B">
      <w:pPr>
        <w:tabs>
          <w:tab w:val="left" w:pos="9639"/>
        </w:tabs>
        <w:ind w:right="-1"/>
        <w:jc w:val="both"/>
        <w:rPr>
          <w:sz w:val="22"/>
        </w:rPr>
      </w:pPr>
    </w:p>
    <w:p w14:paraId="5259DB2F" w14:textId="4317C682" w:rsidR="000C424E" w:rsidRPr="00E165F1" w:rsidRDefault="00E165F1" w:rsidP="0092007B">
      <w:pPr>
        <w:pStyle w:val="NormaleWeb"/>
        <w:numPr>
          <w:ilvl w:val="0"/>
          <w:numId w:val="7"/>
        </w:numPr>
        <w:tabs>
          <w:tab w:val="left" w:pos="9072"/>
        </w:tabs>
        <w:overflowPunct w:val="0"/>
        <w:spacing w:after="120"/>
        <w:ind w:left="284" w:hanging="284"/>
        <w:jc w:val="both"/>
        <w:textAlignment w:val="baseline"/>
        <w:rPr>
          <w:color w:val="000000" w:themeColor="text1"/>
          <w:sz w:val="22"/>
          <w:szCs w:val="22"/>
        </w:rPr>
      </w:pPr>
      <w:r w:rsidRPr="00E165F1">
        <w:rPr>
          <w:b/>
          <w:bCs/>
          <w:color w:val="002060"/>
          <w:sz w:val="22"/>
          <w:szCs w:val="22"/>
        </w:rPr>
        <w:t>Esportazione di beni e servizi</w:t>
      </w:r>
    </w:p>
    <w:p w14:paraId="31776B71" w14:textId="321C1CB2" w:rsidR="00DB7FAC" w:rsidRDefault="00ED4965" w:rsidP="00E165F1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L’</w:t>
      </w:r>
      <w:r w:rsidRPr="00ED4965">
        <w:rPr>
          <w:b/>
          <w:bCs/>
          <w:color w:val="000000" w:themeColor="text1"/>
          <w:sz w:val="22"/>
          <w:szCs w:val="22"/>
        </w:rPr>
        <w:t>integrazione dei s</w:t>
      </w:r>
      <w:r w:rsidR="00F75DF2">
        <w:rPr>
          <w:b/>
          <w:bCs/>
          <w:color w:val="000000" w:themeColor="text1"/>
          <w:sz w:val="22"/>
          <w:szCs w:val="22"/>
        </w:rPr>
        <w:t xml:space="preserve">ervizi </w:t>
      </w:r>
      <w:r w:rsidRPr="00ED4965"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>progettazione,</w:t>
      </w:r>
      <w:r w:rsidR="0092007B">
        <w:rPr>
          <w:color w:val="000000" w:themeColor="text1"/>
          <w:sz w:val="22"/>
          <w:szCs w:val="22"/>
        </w:rPr>
        <w:t xml:space="preserve"> </w:t>
      </w:r>
      <w:r w:rsidRPr="00ED4965">
        <w:rPr>
          <w:color w:val="000000" w:themeColor="text1"/>
          <w:sz w:val="22"/>
          <w:szCs w:val="22"/>
        </w:rPr>
        <w:t xml:space="preserve">assistenza, software) </w:t>
      </w:r>
      <w:r w:rsidRPr="00ED4965">
        <w:rPr>
          <w:b/>
          <w:bCs/>
          <w:color w:val="000000" w:themeColor="text1"/>
          <w:sz w:val="22"/>
          <w:szCs w:val="22"/>
        </w:rPr>
        <w:t>nelle esportazioni manifatturier</w:t>
      </w:r>
      <w:r>
        <w:rPr>
          <w:b/>
          <w:bCs/>
          <w:color w:val="000000" w:themeColor="text1"/>
          <w:sz w:val="22"/>
          <w:szCs w:val="22"/>
        </w:rPr>
        <w:t>e (</w:t>
      </w:r>
      <w:proofErr w:type="spellStart"/>
      <w:r>
        <w:rPr>
          <w:b/>
          <w:bCs/>
          <w:color w:val="000000" w:themeColor="text1"/>
          <w:sz w:val="22"/>
          <w:szCs w:val="22"/>
        </w:rPr>
        <w:t>servitizzazione</w:t>
      </w:r>
      <w:proofErr w:type="spellEnd"/>
      <w:r>
        <w:rPr>
          <w:b/>
          <w:bCs/>
          <w:color w:val="000000" w:themeColor="text1"/>
          <w:sz w:val="22"/>
          <w:szCs w:val="22"/>
        </w:rPr>
        <w:t>)</w:t>
      </w:r>
      <w:r w:rsidR="006D78D1">
        <w:rPr>
          <w:color w:val="000000" w:themeColor="text1"/>
          <w:sz w:val="22"/>
          <w:szCs w:val="22"/>
        </w:rPr>
        <w:t xml:space="preserve"> si consolida come l</w:t>
      </w:r>
      <w:r w:rsidR="001F687C">
        <w:rPr>
          <w:color w:val="000000" w:themeColor="text1"/>
          <w:sz w:val="22"/>
          <w:szCs w:val="22"/>
        </w:rPr>
        <w:t>eva strategic</w:t>
      </w:r>
      <w:r w:rsidR="00BE64E5">
        <w:rPr>
          <w:color w:val="000000" w:themeColor="text1"/>
          <w:sz w:val="22"/>
          <w:szCs w:val="22"/>
        </w:rPr>
        <w:t>a per l’espansione sui mercati interna</w:t>
      </w:r>
      <w:r w:rsidR="00F75DF2">
        <w:rPr>
          <w:color w:val="000000" w:themeColor="text1"/>
          <w:sz w:val="22"/>
          <w:szCs w:val="22"/>
        </w:rPr>
        <w:t xml:space="preserve">zionali e il controllo </w:t>
      </w:r>
      <w:r w:rsidR="00BE64E5">
        <w:rPr>
          <w:color w:val="000000" w:themeColor="text1"/>
          <w:sz w:val="22"/>
          <w:szCs w:val="22"/>
        </w:rPr>
        <w:t xml:space="preserve">sul valore aggiunto per il </w:t>
      </w:r>
      <w:r w:rsidR="004A3351" w:rsidRPr="004A3351">
        <w:rPr>
          <w:b/>
          <w:bCs/>
          <w:color w:val="000000" w:themeColor="text1"/>
          <w:sz w:val="22"/>
          <w:szCs w:val="22"/>
        </w:rPr>
        <w:t>56,0% delle imprese manifatturiere</w:t>
      </w:r>
      <w:r w:rsidR="004A3351">
        <w:rPr>
          <w:color w:val="000000" w:themeColor="text1"/>
          <w:sz w:val="22"/>
          <w:szCs w:val="22"/>
        </w:rPr>
        <w:t xml:space="preserve"> (</w:t>
      </w:r>
      <w:r w:rsidR="009236FD" w:rsidRPr="009236FD">
        <w:rPr>
          <w:b/>
          <w:bCs/>
          <w:color w:val="000000" w:themeColor="text1"/>
          <w:sz w:val="22"/>
          <w:szCs w:val="22"/>
        </w:rPr>
        <w:t>71,2%</w:t>
      </w:r>
      <w:r w:rsidR="004A3351">
        <w:rPr>
          <w:b/>
          <w:bCs/>
          <w:color w:val="000000" w:themeColor="text1"/>
          <w:sz w:val="22"/>
          <w:szCs w:val="22"/>
        </w:rPr>
        <w:t xml:space="preserve"> nella metalmeccanica</w:t>
      </w:r>
      <w:r w:rsidR="00C36B6E">
        <w:rPr>
          <w:color w:val="000000" w:themeColor="text1"/>
          <w:sz w:val="22"/>
          <w:szCs w:val="22"/>
        </w:rPr>
        <w:t xml:space="preserve">). </w:t>
      </w:r>
      <w:r w:rsidR="006D78D1">
        <w:rPr>
          <w:color w:val="000000" w:themeColor="text1"/>
          <w:sz w:val="22"/>
          <w:szCs w:val="22"/>
        </w:rPr>
        <w:t>Nel settor</w:t>
      </w:r>
      <w:r w:rsidR="00DB7FAC">
        <w:rPr>
          <w:color w:val="000000" w:themeColor="text1"/>
          <w:sz w:val="22"/>
          <w:szCs w:val="22"/>
        </w:rPr>
        <w:t xml:space="preserve">e dei </w:t>
      </w:r>
      <w:r w:rsidR="006D78D1">
        <w:rPr>
          <w:color w:val="000000" w:themeColor="text1"/>
          <w:sz w:val="22"/>
          <w:szCs w:val="22"/>
        </w:rPr>
        <w:t>servizi l’offerta integrata riguarda il 27,6%</w:t>
      </w:r>
      <w:r w:rsidR="0092007B">
        <w:rPr>
          <w:color w:val="000000" w:themeColor="text1"/>
          <w:sz w:val="22"/>
          <w:szCs w:val="22"/>
        </w:rPr>
        <w:t xml:space="preserve"> delle imprese.</w:t>
      </w:r>
    </w:p>
    <w:p w14:paraId="1DE3E2EE" w14:textId="77777777" w:rsidR="00C36B6E" w:rsidRDefault="00DB7FAC" w:rsidP="00E165F1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La </w:t>
      </w:r>
      <w:r w:rsidRPr="001F687C">
        <w:rPr>
          <w:b/>
          <w:bCs/>
          <w:color w:val="000000" w:themeColor="text1"/>
          <w:sz w:val="22"/>
          <w:szCs w:val="22"/>
        </w:rPr>
        <w:t>modalità di erogazione</w:t>
      </w:r>
      <w:r w:rsidR="00C36B6E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prevalente è quella </w:t>
      </w:r>
      <w:r w:rsidRPr="00DB7FAC">
        <w:rPr>
          <w:b/>
          <w:bCs/>
          <w:color w:val="000000" w:themeColor="text1"/>
          <w:sz w:val="22"/>
          <w:szCs w:val="22"/>
        </w:rPr>
        <w:t>digitale</w:t>
      </w:r>
      <w:r>
        <w:rPr>
          <w:color w:val="000000" w:themeColor="text1"/>
          <w:sz w:val="22"/>
          <w:szCs w:val="22"/>
        </w:rPr>
        <w:t xml:space="preserve"> via Internet (28,6% del campione), con picco del 36,7% nella metalmeccanica; segue il </w:t>
      </w:r>
      <w:r w:rsidRPr="00DB7FAC">
        <w:rPr>
          <w:b/>
          <w:bCs/>
          <w:color w:val="000000" w:themeColor="text1"/>
          <w:sz w:val="22"/>
          <w:szCs w:val="22"/>
        </w:rPr>
        <w:t>presidio fisico</w:t>
      </w:r>
      <w:r>
        <w:rPr>
          <w:color w:val="000000" w:themeColor="text1"/>
          <w:sz w:val="22"/>
          <w:szCs w:val="22"/>
        </w:rPr>
        <w:t xml:space="preserve">. Le </w:t>
      </w:r>
      <w:r w:rsidRPr="00DB7FAC">
        <w:rPr>
          <w:b/>
          <w:bCs/>
          <w:color w:val="000000" w:themeColor="text1"/>
          <w:sz w:val="22"/>
          <w:szCs w:val="22"/>
        </w:rPr>
        <w:t>competenze tecniche del personale</w:t>
      </w:r>
      <w:r w:rsidR="0092007B">
        <w:rPr>
          <w:color w:val="000000" w:themeColor="text1"/>
          <w:sz w:val="22"/>
          <w:szCs w:val="22"/>
        </w:rPr>
        <w:t xml:space="preserve"> sono </w:t>
      </w:r>
      <w:r>
        <w:rPr>
          <w:color w:val="000000" w:themeColor="text1"/>
          <w:sz w:val="22"/>
          <w:szCs w:val="22"/>
        </w:rPr>
        <w:t>il principale asset competitiv</w:t>
      </w:r>
      <w:r w:rsidR="001F687C">
        <w:rPr>
          <w:color w:val="000000" w:themeColor="text1"/>
          <w:sz w:val="22"/>
          <w:szCs w:val="22"/>
        </w:rPr>
        <w:t xml:space="preserve">o nella fornitura di servizi all’estero </w:t>
      </w:r>
      <w:r w:rsidR="0092007B">
        <w:rPr>
          <w:color w:val="000000" w:themeColor="text1"/>
          <w:sz w:val="22"/>
          <w:szCs w:val="22"/>
        </w:rPr>
        <w:t>per il 43,9%</w:t>
      </w:r>
      <w:r w:rsidR="001F687C">
        <w:rPr>
          <w:color w:val="000000" w:themeColor="text1"/>
          <w:sz w:val="22"/>
          <w:szCs w:val="22"/>
        </w:rPr>
        <w:t xml:space="preserve"> </w:t>
      </w:r>
      <w:r w:rsidR="0092007B">
        <w:rPr>
          <w:color w:val="000000" w:themeColor="text1"/>
          <w:sz w:val="22"/>
          <w:szCs w:val="22"/>
        </w:rPr>
        <w:t xml:space="preserve">(56,7% nel metalmeccanico), seguite a distanza da </w:t>
      </w:r>
      <w:r w:rsidR="0092007B" w:rsidRPr="0092007B">
        <w:rPr>
          <w:b/>
          <w:bCs/>
          <w:color w:val="000000" w:themeColor="text1"/>
          <w:sz w:val="22"/>
          <w:szCs w:val="22"/>
        </w:rPr>
        <w:t>personalizzazione dell’offerta</w:t>
      </w:r>
      <w:r w:rsidR="0092007B">
        <w:rPr>
          <w:color w:val="000000" w:themeColor="text1"/>
          <w:sz w:val="22"/>
          <w:szCs w:val="22"/>
        </w:rPr>
        <w:t xml:space="preserve"> (27,3%) e </w:t>
      </w:r>
      <w:r w:rsidR="0092007B" w:rsidRPr="0092007B">
        <w:rPr>
          <w:b/>
          <w:bCs/>
          <w:color w:val="000000" w:themeColor="text1"/>
          <w:sz w:val="22"/>
          <w:szCs w:val="22"/>
        </w:rPr>
        <w:t>relazioni di fiducia</w:t>
      </w:r>
      <w:r w:rsidR="0092007B">
        <w:rPr>
          <w:color w:val="000000" w:themeColor="text1"/>
          <w:sz w:val="22"/>
          <w:szCs w:val="22"/>
        </w:rPr>
        <w:t xml:space="preserve"> (24,8%).</w:t>
      </w:r>
    </w:p>
    <w:p w14:paraId="1CEC527F" w14:textId="2056DA9A" w:rsidR="0092007B" w:rsidRDefault="0092007B" w:rsidP="00E165F1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Le </w:t>
      </w:r>
      <w:r w:rsidRPr="001F687C">
        <w:rPr>
          <w:b/>
          <w:bCs/>
          <w:color w:val="000000" w:themeColor="text1"/>
          <w:sz w:val="22"/>
          <w:szCs w:val="22"/>
        </w:rPr>
        <w:t>criticità maggiori</w:t>
      </w:r>
      <w:r w:rsidR="001F687C">
        <w:rPr>
          <w:color w:val="000000" w:themeColor="text1"/>
          <w:sz w:val="22"/>
          <w:szCs w:val="22"/>
        </w:rPr>
        <w:t xml:space="preserve"> </w:t>
      </w:r>
      <w:r w:rsidR="000479C3">
        <w:rPr>
          <w:color w:val="000000" w:themeColor="text1"/>
          <w:sz w:val="22"/>
          <w:szCs w:val="22"/>
        </w:rPr>
        <w:t>riscontrat</w:t>
      </w:r>
      <w:r w:rsidR="00537E45">
        <w:rPr>
          <w:color w:val="000000" w:themeColor="text1"/>
          <w:sz w:val="22"/>
          <w:szCs w:val="22"/>
        </w:rPr>
        <w:t xml:space="preserve">e nella fornitura di servizi all’estero sono invece la </w:t>
      </w:r>
      <w:r w:rsidRPr="0092007B">
        <w:rPr>
          <w:b/>
          <w:bCs/>
          <w:color w:val="000000" w:themeColor="text1"/>
          <w:sz w:val="22"/>
          <w:szCs w:val="22"/>
        </w:rPr>
        <w:t>complessità normativa</w:t>
      </w:r>
      <w:r>
        <w:rPr>
          <w:color w:val="000000" w:themeColor="text1"/>
          <w:sz w:val="22"/>
          <w:szCs w:val="22"/>
        </w:rPr>
        <w:t xml:space="preserve"> </w:t>
      </w:r>
      <w:r w:rsidR="001F687C">
        <w:rPr>
          <w:color w:val="000000" w:themeColor="text1"/>
          <w:sz w:val="22"/>
          <w:szCs w:val="22"/>
        </w:rPr>
        <w:t xml:space="preserve">per il </w:t>
      </w:r>
      <w:r>
        <w:rPr>
          <w:color w:val="000000" w:themeColor="text1"/>
          <w:sz w:val="22"/>
          <w:szCs w:val="22"/>
        </w:rPr>
        <w:t>31,5%</w:t>
      </w:r>
      <w:r w:rsidR="00C36B6E">
        <w:rPr>
          <w:color w:val="000000" w:themeColor="text1"/>
          <w:sz w:val="22"/>
          <w:szCs w:val="22"/>
        </w:rPr>
        <w:t xml:space="preserve"> </w:t>
      </w:r>
      <w:r w:rsidR="001F687C">
        <w:rPr>
          <w:color w:val="000000" w:themeColor="text1"/>
          <w:sz w:val="22"/>
          <w:szCs w:val="22"/>
        </w:rPr>
        <w:t>(38,3</w:t>
      </w:r>
      <w:r w:rsidR="00BE64E5">
        <w:rPr>
          <w:color w:val="000000" w:themeColor="text1"/>
          <w:sz w:val="22"/>
          <w:szCs w:val="22"/>
        </w:rPr>
        <w:t xml:space="preserve">% </w:t>
      </w:r>
      <w:r w:rsidR="001F687C">
        <w:rPr>
          <w:color w:val="000000" w:themeColor="text1"/>
          <w:sz w:val="22"/>
          <w:szCs w:val="22"/>
        </w:rPr>
        <w:t xml:space="preserve">nei servizi), </w:t>
      </w:r>
      <w:r>
        <w:rPr>
          <w:color w:val="000000" w:themeColor="text1"/>
          <w:sz w:val="22"/>
          <w:szCs w:val="22"/>
        </w:rPr>
        <w:t>seguita d</w:t>
      </w:r>
      <w:r w:rsidR="001F687C">
        <w:rPr>
          <w:color w:val="000000" w:themeColor="text1"/>
          <w:sz w:val="22"/>
          <w:szCs w:val="22"/>
        </w:rPr>
        <w:t xml:space="preserve">a </w:t>
      </w:r>
      <w:r w:rsidRPr="0092007B">
        <w:rPr>
          <w:b/>
          <w:bCs/>
          <w:color w:val="000000" w:themeColor="text1"/>
          <w:sz w:val="22"/>
          <w:szCs w:val="22"/>
        </w:rPr>
        <w:t>rigidità delle procedure doganali</w:t>
      </w:r>
      <w:r>
        <w:rPr>
          <w:color w:val="000000" w:themeColor="text1"/>
          <w:sz w:val="22"/>
          <w:szCs w:val="22"/>
        </w:rPr>
        <w:t xml:space="preserve"> (21,2%)</w:t>
      </w:r>
      <w:r w:rsidR="001F687C">
        <w:rPr>
          <w:color w:val="000000" w:themeColor="text1"/>
          <w:sz w:val="22"/>
          <w:szCs w:val="22"/>
        </w:rPr>
        <w:t xml:space="preserve"> e </w:t>
      </w:r>
      <w:r w:rsidR="001F687C" w:rsidRPr="001F687C">
        <w:rPr>
          <w:b/>
          <w:bCs/>
          <w:color w:val="000000" w:themeColor="text1"/>
          <w:sz w:val="22"/>
          <w:szCs w:val="22"/>
        </w:rPr>
        <w:t>difficoltà nel creare relazioni di fiducia</w:t>
      </w:r>
      <w:r w:rsidR="001F687C">
        <w:rPr>
          <w:color w:val="000000" w:themeColor="text1"/>
          <w:sz w:val="22"/>
          <w:szCs w:val="22"/>
        </w:rPr>
        <w:t xml:space="preserve"> (16,6%).</w:t>
      </w:r>
    </w:p>
    <w:p w14:paraId="7A15AB78" w14:textId="77777777" w:rsidR="0092007B" w:rsidRDefault="0092007B" w:rsidP="00E165F1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color w:val="000000" w:themeColor="text1"/>
          <w:sz w:val="22"/>
          <w:szCs w:val="22"/>
        </w:rPr>
      </w:pPr>
    </w:p>
    <w:p w14:paraId="027603B6" w14:textId="65CBB880" w:rsidR="0092007B" w:rsidRPr="0092007B" w:rsidRDefault="0092007B" w:rsidP="0092007B">
      <w:pPr>
        <w:pStyle w:val="NormaleWeb"/>
        <w:numPr>
          <w:ilvl w:val="0"/>
          <w:numId w:val="7"/>
        </w:numPr>
        <w:tabs>
          <w:tab w:val="left" w:pos="9072"/>
        </w:tabs>
        <w:overflowPunct w:val="0"/>
        <w:spacing w:after="120"/>
        <w:ind w:left="284" w:hanging="284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Le strategie di internazionalizzazione e lo sguardo delle imprese al 2026</w:t>
      </w:r>
    </w:p>
    <w:p w14:paraId="65310B9C" w14:textId="146AED65" w:rsidR="00AF1484" w:rsidRDefault="00B54134" w:rsidP="00B54134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Le </w:t>
      </w:r>
      <w:r w:rsidRPr="00202391">
        <w:rPr>
          <w:b/>
          <w:bCs/>
          <w:color w:val="000000" w:themeColor="text1"/>
          <w:sz w:val="22"/>
          <w:szCs w:val="22"/>
        </w:rPr>
        <w:t>esportazioni dirette</w:t>
      </w:r>
      <w:r>
        <w:rPr>
          <w:color w:val="000000" w:themeColor="text1"/>
          <w:sz w:val="22"/>
          <w:szCs w:val="22"/>
        </w:rPr>
        <w:t xml:space="preserve"> sono la principale modalità di interazione con i mercati esteri d</w:t>
      </w:r>
      <w:r w:rsidR="00E46D75">
        <w:rPr>
          <w:color w:val="000000" w:themeColor="text1"/>
          <w:sz w:val="22"/>
          <w:szCs w:val="22"/>
        </w:rPr>
        <w:t xml:space="preserve">elle imprese </w:t>
      </w:r>
      <w:r>
        <w:rPr>
          <w:color w:val="000000" w:themeColor="text1"/>
          <w:sz w:val="22"/>
          <w:szCs w:val="22"/>
        </w:rPr>
        <w:t>internazionalizzate (77,7% nella manifattura, 51,8% nei servizi), seguite da vendite occasionali (16,3% manifattura, 43,8</w:t>
      </w:r>
      <w:r w:rsidR="00AF1484">
        <w:rPr>
          <w:color w:val="000000" w:themeColor="text1"/>
          <w:sz w:val="22"/>
          <w:szCs w:val="22"/>
        </w:rPr>
        <w:t>%</w:t>
      </w:r>
      <w:r>
        <w:rPr>
          <w:color w:val="000000" w:themeColor="text1"/>
          <w:sz w:val="22"/>
          <w:szCs w:val="22"/>
        </w:rPr>
        <w:t xml:space="preserve"> servizi), import di materiali e componenti (15% del campione), esportazioni in subfornitura (11,1%)</w:t>
      </w:r>
      <w:r w:rsidR="00030A09">
        <w:rPr>
          <w:color w:val="000000" w:themeColor="text1"/>
          <w:sz w:val="22"/>
          <w:szCs w:val="22"/>
        </w:rPr>
        <w:t>. La presenza produttiva d</w:t>
      </w:r>
      <w:r w:rsidR="00AF1484">
        <w:rPr>
          <w:color w:val="000000" w:themeColor="text1"/>
          <w:sz w:val="22"/>
          <w:szCs w:val="22"/>
        </w:rPr>
        <w:t>iretta rimane limitata.</w:t>
      </w:r>
    </w:p>
    <w:p w14:paraId="74834DDA" w14:textId="3BD04D14" w:rsidR="0092007B" w:rsidRDefault="00B54134" w:rsidP="00760BD8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</w:t>
      </w:r>
      <w:r w:rsidR="00AB746E">
        <w:rPr>
          <w:color w:val="000000" w:themeColor="text1"/>
          <w:sz w:val="22"/>
          <w:szCs w:val="22"/>
        </w:rPr>
        <w:t>un contesto global</w:t>
      </w:r>
      <w:r w:rsidR="00312ADE">
        <w:rPr>
          <w:color w:val="000000" w:themeColor="text1"/>
          <w:sz w:val="22"/>
          <w:szCs w:val="22"/>
        </w:rPr>
        <w:t xml:space="preserve">e </w:t>
      </w:r>
      <w:r w:rsidR="00AB746E">
        <w:rPr>
          <w:color w:val="000000" w:themeColor="text1"/>
          <w:sz w:val="22"/>
          <w:szCs w:val="22"/>
        </w:rPr>
        <w:t>di incertezza e volatilità, le prospettive sull’export nel 2026 delineano un quadro di cautel</w:t>
      </w:r>
      <w:r w:rsidR="00BE64E5">
        <w:rPr>
          <w:color w:val="000000" w:themeColor="text1"/>
          <w:sz w:val="22"/>
          <w:szCs w:val="22"/>
        </w:rPr>
        <w:t xml:space="preserve">a e “attesa”, </w:t>
      </w:r>
      <w:r w:rsidR="00AB746E">
        <w:rPr>
          <w:color w:val="000000" w:themeColor="text1"/>
          <w:sz w:val="22"/>
          <w:szCs w:val="22"/>
        </w:rPr>
        <w:t xml:space="preserve">ma in </w:t>
      </w:r>
      <w:r w:rsidR="00AB746E" w:rsidRPr="00AB746E">
        <w:rPr>
          <w:b/>
          <w:bCs/>
          <w:color w:val="000000" w:themeColor="text1"/>
          <w:sz w:val="22"/>
          <w:szCs w:val="22"/>
        </w:rPr>
        <w:t>miglioramento</w:t>
      </w:r>
      <w:r w:rsidR="00AB746E">
        <w:rPr>
          <w:color w:val="000000" w:themeColor="text1"/>
          <w:sz w:val="22"/>
          <w:szCs w:val="22"/>
        </w:rPr>
        <w:t xml:space="preserve">. </w:t>
      </w:r>
      <w:r w:rsidR="00F15457">
        <w:rPr>
          <w:color w:val="000000" w:themeColor="text1"/>
          <w:sz w:val="22"/>
          <w:szCs w:val="22"/>
        </w:rPr>
        <w:t xml:space="preserve">Le </w:t>
      </w:r>
      <w:r w:rsidR="00F15457" w:rsidRPr="00F15457">
        <w:rPr>
          <w:b/>
          <w:bCs/>
          <w:color w:val="000000" w:themeColor="text1"/>
          <w:sz w:val="22"/>
          <w:szCs w:val="22"/>
        </w:rPr>
        <w:t>esportazioni sono attese stabili (+/-3%) dal 52,8% delle imprese manifatturiere del Veneto orientale</w:t>
      </w:r>
      <w:r w:rsidR="00BC23AE" w:rsidRPr="00BC23AE">
        <w:rPr>
          <w:color w:val="000000" w:themeColor="text1"/>
          <w:sz w:val="22"/>
          <w:szCs w:val="22"/>
        </w:rPr>
        <w:t xml:space="preserve">. </w:t>
      </w:r>
      <w:r w:rsidR="00BC23AE" w:rsidRPr="00760BD8">
        <w:rPr>
          <w:b/>
          <w:bCs/>
          <w:color w:val="000000" w:themeColor="text1"/>
          <w:sz w:val="22"/>
          <w:szCs w:val="22"/>
        </w:rPr>
        <w:t xml:space="preserve">Quattro su dieci </w:t>
      </w:r>
      <w:r w:rsidR="00F15457" w:rsidRPr="00F15457">
        <w:rPr>
          <w:b/>
          <w:bCs/>
          <w:color w:val="000000" w:themeColor="text1"/>
          <w:sz w:val="22"/>
          <w:szCs w:val="22"/>
        </w:rPr>
        <w:t>(40,9%) si aspettan</w:t>
      </w:r>
      <w:r w:rsidR="00BC23AE">
        <w:rPr>
          <w:b/>
          <w:bCs/>
          <w:color w:val="000000" w:themeColor="text1"/>
          <w:sz w:val="22"/>
          <w:szCs w:val="22"/>
        </w:rPr>
        <w:t>o un aumento</w:t>
      </w:r>
      <w:r w:rsidR="00F15457">
        <w:rPr>
          <w:color w:val="000000" w:themeColor="text1"/>
          <w:sz w:val="22"/>
          <w:szCs w:val="22"/>
        </w:rPr>
        <w:t>, che per il 31,5% sarà compres</w:t>
      </w:r>
      <w:r w:rsidR="00BC23AE">
        <w:rPr>
          <w:color w:val="000000" w:themeColor="text1"/>
          <w:sz w:val="22"/>
          <w:szCs w:val="22"/>
        </w:rPr>
        <w:t xml:space="preserve">o tra il </w:t>
      </w:r>
      <w:r w:rsidR="00B05B10">
        <w:rPr>
          <w:color w:val="000000" w:themeColor="text1"/>
          <w:sz w:val="22"/>
          <w:szCs w:val="22"/>
        </w:rPr>
        <w:t>+</w:t>
      </w:r>
      <w:r w:rsidR="00BC23AE">
        <w:rPr>
          <w:color w:val="000000" w:themeColor="text1"/>
          <w:sz w:val="22"/>
          <w:szCs w:val="22"/>
        </w:rPr>
        <w:t xml:space="preserve">3% e il </w:t>
      </w:r>
      <w:r w:rsidR="00B05B10">
        <w:rPr>
          <w:color w:val="000000" w:themeColor="text1"/>
          <w:sz w:val="22"/>
          <w:szCs w:val="22"/>
        </w:rPr>
        <w:t>+</w:t>
      </w:r>
      <w:r w:rsidR="00BC23AE">
        <w:rPr>
          <w:color w:val="000000" w:themeColor="text1"/>
          <w:sz w:val="22"/>
          <w:szCs w:val="22"/>
        </w:rPr>
        <w:t xml:space="preserve">10% </w:t>
      </w:r>
      <w:r w:rsidR="00F15457">
        <w:rPr>
          <w:color w:val="000000" w:themeColor="text1"/>
          <w:sz w:val="22"/>
          <w:szCs w:val="22"/>
        </w:rPr>
        <w:t>(</w:t>
      </w:r>
      <w:r w:rsidR="00BC23AE">
        <w:rPr>
          <w:color w:val="000000" w:themeColor="text1"/>
          <w:sz w:val="22"/>
          <w:szCs w:val="22"/>
        </w:rPr>
        <w:t xml:space="preserve">per il 9,4%, più del 10%). Nei </w:t>
      </w:r>
      <w:r w:rsidR="00BC23AE" w:rsidRPr="00760BD8">
        <w:rPr>
          <w:b/>
          <w:bCs/>
          <w:color w:val="000000" w:themeColor="text1"/>
          <w:sz w:val="22"/>
          <w:szCs w:val="22"/>
        </w:rPr>
        <w:t>servizi</w:t>
      </w:r>
      <w:r w:rsidR="00AA5053">
        <w:rPr>
          <w:b/>
          <w:bCs/>
          <w:color w:val="000000" w:themeColor="text1"/>
          <w:sz w:val="22"/>
          <w:szCs w:val="22"/>
        </w:rPr>
        <w:t xml:space="preserve"> </w:t>
      </w:r>
      <w:r w:rsidR="00BC23AE">
        <w:rPr>
          <w:color w:val="000000" w:themeColor="text1"/>
          <w:sz w:val="22"/>
          <w:szCs w:val="22"/>
        </w:rPr>
        <w:t>il 61,5%</w:t>
      </w:r>
      <w:r w:rsidR="00AA5053">
        <w:rPr>
          <w:color w:val="000000" w:themeColor="text1"/>
          <w:sz w:val="22"/>
          <w:szCs w:val="22"/>
        </w:rPr>
        <w:t xml:space="preserve"> </w:t>
      </w:r>
      <w:r w:rsidR="00BC23AE">
        <w:rPr>
          <w:color w:val="000000" w:themeColor="text1"/>
          <w:sz w:val="22"/>
          <w:szCs w:val="22"/>
        </w:rPr>
        <w:t xml:space="preserve">prevede stabilità, a fronte del </w:t>
      </w:r>
      <w:r w:rsidR="009236FD">
        <w:rPr>
          <w:color w:val="000000" w:themeColor="text1"/>
          <w:sz w:val="22"/>
          <w:szCs w:val="22"/>
        </w:rPr>
        <w:t xml:space="preserve">21,3% </w:t>
      </w:r>
      <w:r w:rsidR="00BC23AE">
        <w:rPr>
          <w:color w:val="000000" w:themeColor="text1"/>
          <w:sz w:val="22"/>
          <w:szCs w:val="22"/>
        </w:rPr>
        <w:t>c</w:t>
      </w:r>
      <w:r w:rsidR="00B53AC9">
        <w:rPr>
          <w:color w:val="000000" w:themeColor="text1"/>
          <w:sz w:val="22"/>
          <w:szCs w:val="22"/>
        </w:rPr>
        <w:t>he stima</w:t>
      </w:r>
      <w:r w:rsidR="00AB746E">
        <w:rPr>
          <w:color w:val="000000" w:themeColor="text1"/>
          <w:sz w:val="22"/>
          <w:szCs w:val="22"/>
        </w:rPr>
        <w:t xml:space="preserve"> </w:t>
      </w:r>
      <w:r w:rsidR="00B53AC9">
        <w:rPr>
          <w:color w:val="000000" w:themeColor="text1"/>
          <w:sz w:val="22"/>
          <w:szCs w:val="22"/>
        </w:rPr>
        <w:t xml:space="preserve">crescita moderata </w:t>
      </w:r>
      <w:r w:rsidR="00760BD8">
        <w:rPr>
          <w:color w:val="000000" w:themeColor="text1"/>
          <w:sz w:val="22"/>
          <w:szCs w:val="22"/>
        </w:rPr>
        <w:t xml:space="preserve">(3-10%) e il </w:t>
      </w:r>
      <w:r w:rsidR="009236FD">
        <w:rPr>
          <w:color w:val="000000" w:themeColor="text1"/>
          <w:sz w:val="22"/>
          <w:szCs w:val="22"/>
        </w:rPr>
        <w:t xml:space="preserve">12,8% </w:t>
      </w:r>
      <w:r w:rsidR="00760BD8">
        <w:rPr>
          <w:color w:val="000000" w:themeColor="text1"/>
          <w:sz w:val="22"/>
          <w:szCs w:val="22"/>
        </w:rPr>
        <w:t>aumento superiore al 10%.</w:t>
      </w:r>
    </w:p>
    <w:p w14:paraId="32E1834E" w14:textId="2EDC66DD" w:rsidR="00760BD8" w:rsidRDefault="00644F33" w:rsidP="00D31D4B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 </w:t>
      </w:r>
      <w:r w:rsidRPr="00E46D75">
        <w:rPr>
          <w:b/>
          <w:bCs/>
          <w:color w:val="000000" w:themeColor="text1"/>
          <w:sz w:val="22"/>
          <w:szCs w:val="22"/>
        </w:rPr>
        <w:t>Paesi target</w:t>
      </w:r>
      <w:r>
        <w:rPr>
          <w:color w:val="000000" w:themeColor="text1"/>
          <w:sz w:val="22"/>
          <w:szCs w:val="22"/>
        </w:rPr>
        <w:t xml:space="preserve"> per l’export nel 2026 restano</w:t>
      </w:r>
      <w:r w:rsidR="00E46D75">
        <w:rPr>
          <w:color w:val="000000" w:themeColor="text1"/>
          <w:sz w:val="22"/>
          <w:szCs w:val="22"/>
        </w:rPr>
        <w:t xml:space="preserve"> i </w:t>
      </w:r>
      <w:r>
        <w:rPr>
          <w:color w:val="000000" w:themeColor="text1"/>
          <w:sz w:val="22"/>
          <w:szCs w:val="22"/>
        </w:rPr>
        <w:t xml:space="preserve">principali partner europei, </w:t>
      </w:r>
      <w:r w:rsidRPr="00AF1484">
        <w:rPr>
          <w:b/>
          <w:bCs/>
          <w:color w:val="000000" w:themeColor="text1"/>
          <w:sz w:val="22"/>
          <w:szCs w:val="22"/>
        </w:rPr>
        <w:t>Germania</w:t>
      </w:r>
      <w:r w:rsidRPr="00AF1484">
        <w:rPr>
          <w:color w:val="000000" w:themeColor="text1"/>
          <w:sz w:val="22"/>
          <w:szCs w:val="22"/>
        </w:rPr>
        <w:t xml:space="preserve"> e </w:t>
      </w:r>
      <w:r w:rsidRPr="00AF1484">
        <w:rPr>
          <w:b/>
          <w:bCs/>
          <w:color w:val="000000" w:themeColor="text1"/>
          <w:sz w:val="22"/>
          <w:szCs w:val="22"/>
        </w:rPr>
        <w:t>Francia</w:t>
      </w:r>
      <w:r>
        <w:rPr>
          <w:color w:val="000000" w:themeColor="text1"/>
          <w:sz w:val="22"/>
          <w:szCs w:val="22"/>
        </w:rPr>
        <w:t xml:space="preserve">, </w:t>
      </w:r>
      <w:r w:rsidR="00AF1484">
        <w:rPr>
          <w:color w:val="000000" w:themeColor="text1"/>
          <w:sz w:val="22"/>
          <w:szCs w:val="22"/>
        </w:rPr>
        <w:t xml:space="preserve">seguiti dagli </w:t>
      </w:r>
      <w:r w:rsidR="00AF1484" w:rsidRPr="00E25002">
        <w:rPr>
          <w:b/>
          <w:bCs/>
          <w:color w:val="000000" w:themeColor="text1"/>
          <w:sz w:val="22"/>
          <w:szCs w:val="22"/>
        </w:rPr>
        <w:t>Stati Uniti</w:t>
      </w:r>
      <w:r w:rsidR="00AF1484">
        <w:rPr>
          <w:color w:val="000000" w:themeColor="text1"/>
          <w:sz w:val="22"/>
          <w:szCs w:val="22"/>
        </w:rPr>
        <w:t xml:space="preserve"> primo p</w:t>
      </w:r>
      <w:r w:rsidR="00C26D1B">
        <w:rPr>
          <w:color w:val="000000" w:themeColor="text1"/>
          <w:sz w:val="22"/>
          <w:szCs w:val="22"/>
        </w:rPr>
        <w:t xml:space="preserve">artner commerciale </w:t>
      </w:r>
      <w:r w:rsidR="00AF1484">
        <w:rPr>
          <w:color w:val="000000" w:themeColor="text1"/>
          <w:sz w:val="22"/>
          <w:szCs w:val="22"/>
        </w:rPr>
        <w:t>extra-</w:t>
      </w:r>
      <w:r w:rsidR="00C26D1B">
        <w:rPr>
          <w:color w:val="000000" w:themeColor="text1"/>
          <w:sz w:val="22"/>
          <w:szCs w:val="22"/>
        </w:rPr>
        <w:t xml:space="preserve">UE. </w:t>
      </w:r>
      <w:r w:rsidR="00AF1484">
        <w:rPr>
          <w:color w:val="000000" w:themeColor="text1"/>
          <w:sz w:val="22"/>
          <w:szCs w:val="22"/>
        </w:rPr>
        <w:t>Quanto alle scelte strategich</w:t>
      </w:r>
      <w:r w:rsidR="00E25002">
        <w:rPr>
          <w:color w:val="000000" w:themeColor="text1"/>
          <w:sz w:val="22"/>
          <w:szCs w:val="22"/>
        </w:rPr>
        <w:t xml:space="preserve">e </w:t>
      </w:r>
      <w:r w:rsidR="005C5927">
        <w:rPr>
          <w:color w:val="000000" w:themeColor="text1"/>
          <w:sz w:val="22"/>
          <w:szCs w:val="22"/>
        </w:rPr>
        <w:t xml:space="preserve">per il biennio 2026-2027, </w:t>
      </w:r>
      <w:r w:rsidR="00AF1484">
        <w:rPr>
          <w:color w:val="000000" w:themeColor="text1"/>
          <w:sz w:val="22"/>
          <w:szCs w:val="22"/>
        </w:rPr>
        <w:t xml:space="preserve">per il </w:t>
      </w:r>
      <w:r w:rsidR="00760BD8" w:rsidRPr="00030A09">
        <w:rPr>
          <w:b/>
          <w:bCs/>
          <w:color w:val="000000" w:themeColor="text1"/>
          <w:sz w:val="22"/>
          <w:szCs w:val="22"/>
        </w:rPr>
        <w:t>54,7%</w:t>
      </w:r>
      <w:r w:rsidR="00760BD8" w:rsidRPr="00A54F0C">
        <w:rPr>
          <w:b/>
          <w:bCs/>
          <w:color w:val="000000" w:themeColor="text1"/>
          <w:sz w:val="22"/>
          <w:szCs w:val="22"/>
        </w:rPr>
        <w:t xml:space="preserve"> delle</w:t>
      </w:r>
      <w:r w:rsidR="00030A09" w:rsidRPr="00A54F0C">
        <w:rPr>
          <w:b/>
          <w:bCs/>
          <w:color w:val="000000" w:themeColor="text1"/>
          <w:sz w:val="22"/>
          <w:szCs w:val="22"/>
        </w:rPr>
        <w:t xml:space="preserve"> </w:t>
      </w:r>
      <w:r w:rsidR="00760BD8" w:rsidRPr="00A54F0C">
        <w:rPr>
          <w:b/>
          <w:bCs/>
          <w:color w:val="000000" w:themeColor="text1"/>
          <w:sz w:val="22"/>
          <w:szCs w:val="22"/>
        </w:rPr>
        <w:t>manifatturiere internazionalizzate</w:t>
      </w:r>
      <w:r w:rsidR="00030A09">
        <w:rPr>
          <w:color w:val="000000" w:themeColor="text1"/>
          <w:sz w:val="22"/>
          <w:szCs w:val="22"/>
        </w:rPr>
        <w:t xml:space="preserve"> </w:t>
      </w:r>
      <w:r w:rsidR="00760BD8">
        <w:rPr>
          <w:color w:val="000000" w:themeColor="text1"/>
          <w:sz w:val="22"/>
          <w:szCs w:val="22"/>
        </w:rPr>
        <w:t>la priorità è i</w:t>
      </w:r>
      <w:r w:rsidR="00461A4F">
        <w:rPr>
          <w:color w:val="000000" w:themeColor="text1"/>
          <w:sz w:val="22"/>
          <w:szCs w:val="22"/>
        </w:rPr>
        <w:t xml:space="preserve">l </w:t>
      </w:r>
      <w:r w:rsidR="00461A4F" w:rsidRPr="00461A4F">
        <w:rPr>
          <w:b/>
          <w:bCs/>
          <w:color w:val="000000" w:themeColor="text1"/>
          <w:sz w:val="22"/>
          <w:szCs w:val="22"/>
        </w:rPr>
        <w:t>rafforzamento della presenza nei mercati già presidiati</w:t>
      </w:r>
      <w:r w:rsidR="00461A4F">
        <w:rPr>
          <w:color w:val="000000" w:themeColor="text1"/>
          <w:sz w:val="22"/>
          <w:szCs w:val="22"/>
        </w:rPr>
        <w:t xml:space="preserve"> (37% nei servizi), segue a distanza lo </w:t>
      </w:r>
      <w:r w:rsidR="00461A4F" w:rsidRPr="00C26D1B">
        <w:rPr>
          <w:b/>
          <w:bCs/>
          <w:color w:val="000000" w:themeColor="text1"/>
          <w:sz w:val="22"/>
          <w:szCs w:val="22"/>
        </w:rPr>
        <w:t>svilu</w:t>
      </w:r>
      <w:r w:rsidR="00AF1484" w:rsidRPr="00C26D1B">
        <w:rPr>
          <w:b/>
          <w:bCs/>
          <w:color w:val="000000" w:themeColor="text1"/>
          <w:sz w:val="22"/>
          <w:szCs w:val="22"/>
        </w:rPr>
        <w:t>ppo in nuovi mercati</w:t>
      </w:r>
      <w:r w:rsidR="00AF1484">
        <w:rPr>
          <w:color w:val="000000" w:themeColor="text1"/>
          <w:sz w:val="22"/>
          <w:szCs w:val="22"/>
        </w:rPr>
        <w:t xml:space="preserve"> </w:t>
      </w:r>
      <w:r w:rsidR="00461A4F">
        <w:rPr>
          <w:color w:val="000000" w:themeColor="text1"/>
          <w:sz w:val="22"/>
          <w:szCs w:val="22"/>
        </w:rPr>
        <w:t>(14,2%)</w:t>
      </w:r>
      <w:r w:rsidR="00C26D1B">
        <w:rPr>
          <w:color w:val="000000" w:themeColor="text1"/>
          <w:sz w:val="22"/>
          <w:szCs w:val="22"/>
        </w:rPr>
        <w:t xml:space="preserve">, con destinazioni prevalenti </w:t>
      </w:r>
      <w:r w:rsidR="00C26D1B" w:rsidRPr="00C26D1B">
        <w:rPr>
          <w:b/>
          <w:bCs/>
          <w:color w:val="000000" w:themeColor="text1"/>
          <w:sz w:val="22"/>
          <w:szCs w:val="22"/>
        </w:rPr>
        <w:t>Medio Oriente</w:t>
      </w:r>
      <w:r w:rsidR="00C26D1B">
        <w:rPr>
          <w:color w:val="000000" w:themeColor="text1"/>
          <w:sz w:val="22"/>
          <w:szCs w:val="22"/>
        </w:rPr>
        <w:t xml:space="preserve"> (11,4%)</w:t>
      </w:r>
      <w:r w:rsidR="005C5927">
        <w:rPr>
          <w:color w:val="000000" w:themeColor="text1"/>
          <w:sz w:val="22"/>
          <w:szCs w:val="22"/>
        </w:rPr>
        <w:t xml:space="preserve">, </w:t>
      </w:r>
      <w:r w:rsidR="00C26D1B" w:rsidRPr="00C26D1B">
        <w:rPr>
          <w:b/>
          <w:bCs/>
          <w:color w:val="000000" w:themeColor="text1"/>
          <w:sz w:val="22"/>
          <w:szCs w:val="22"/>
        </w:rPr>
        <w:t>Gran Bretagna</w:t>
      </w:r>
      <w:r w:rsidR="00C26D1B">
        <w:rPr>
          <w:color w:val="000000" w:themeColor="text1"/>
          <w:sz w:val="22"/>
          <w:szCs w:val="22"/>
        </w:rPr>
        <w:t xml:space="preserve"> (11,3%</w:t>
      </w:r>
      <w:r w:rsidR="00E25002">
        <w:rPr>
          <w:color w:val="000000" w:themeColor="text1"/>
          <w:sz w:val="22"/>
          <w:szCs w:val="22"/>
        </w:rPr>
        <w:t>)</w:t>
      </w:r>
      <w:r w:rsidR="00C26D1B">
        <w:rPr>
          <w:color w:val="000000" w:themeColor="text1"/>
          <w:sz w:val="22"/>
          <w:szCs w:val="22"/>
        </w:rPr>
        <w:t xml:space="preserve">, seguite da </w:t>
      </w:r>
      <w:r w:rsidR="00C26D1B" w:rsidRPr="00C26D1B">
        <w:rPr>
          <w:b/>
          <w:bCs/>
          <w:color w:val="000000" w:themeColor="text1"/>
          <w:sz w:val="22"/>
          <w:szCs w:val="22"/>
        </w:rPr>
        <w:t>Africa</w:t>
      </w:r>
      <w:r w:rsidR="00C26D1B">
        <w:rPr>
          <w:color w:val="000000" w:themeColor="text1"/>
          <w:sz w:val="22"/>
          <w:szCs w:val="22"/>
        </w:rPr>
        <w:t xml:space="preserve"> e </w:t>
      </w:r>
      <w:r w:rsidR="00C26D1B" w:rsidRPr="00C26D1B">
        <w:rPr>
          <w:b/>
          <w:bCs/>
          <w:color w:val="000000" w:themeColor="text1"/>
          <w:sz w:val="22"/>
          <w:szCs w:val="22"/>
        </w:rPr>
        <w:t>Cin</w:t>
      </w:r>
      <w:r w:rsidR="00B05B10">
        <w:rPr>
          <w:b/>
          <w:bCs/>
          <w:color w:val="000000" w:themeColor="text1"/>
          <w:sz w:val="22"/>
          <w:szCs w:val="22"/>
        </w:rPr>
        <w:t xml:space="preserve">a </w:t>
      </w:r>
      <w:r w:rsidR="00B05B10" w:rsidRPr="00B05B10">
        <w:rPr>
          <w:color w:val="000000" w:themeColor="text1"/>
          <w:sz w:val="22"/>
          <w:szCs w:val="22"/>
        </w:rPr>
        <w:t>(10,7%)</w:t>
      </w:r>
      <w:r w:rsidR="00B05B10">
        <w:rPr>
          <w:color w:val="000000" w:themeColor="text1"/>
          <w:sz w:val="22"/>
          <w:szCs w:val="22"/>
        </w:rPr>
        <w:t>.</w:t>
      </w:r>
    </w:p>
    <w:p w14:paraId="647D1BDC" w14:textId="77777777" w:rsidR="00C26D1B" w:rsidRPr="00C26D1B" w:rsidRDefault="00C26D1B" w:rsidP="00D31D4B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color w:val="000000" w:themeColor="text1"/>
          <w:sz w:val="22"/>
          <w:szCs w:val="22"/>
        </w:rPr>
      </w:pPr>
    </w:p>
    <w:p w14:paraId="28B987B6" w14:textId="164891EC" w:rsidR="00C26D1B" w:rsidRPr="00692793" w:rsidRDefault="00911B12" w:rsidP="00692793">
      <w:pPr>
        <w:pStyle w:val="NormaleWeb"/>
        <w:numPr>
          <w:ilvl w:val="0"/>
          <w:numId w:val="7"/>
        </w:numPr>
        <w:tabs>
          <w:tab w:val="left" w:pos="9072"/>
        </w:tabs>
        <w:overflowPunct w:val="0"/>
        <w:spacing w:after="120"/>
        <w:ind w:left="284" w:hanging="284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Scenari globali e rischi connessi</w:t>
      </w:r>
    </w:p>
    <w:p w14:paraId="58C774D5" w14:textId="10C86B05" w:rsidR="00692793" w:rsidRPr="00692793" w:rsidRDefault="00692793" w:rsidP="00692793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Pr="00692793">
        <w:rPr>
          <w:b/>
          <w:bCs/>
          <w:sz w:val="22"/>
          <w:szCs w:val="22"/>
        </w:rPr>
        <w:t>35,4% delle imprese manifatturiere internazionalizzate</w:t>
      </w:r>
      <w:r w:rsidR="003D6BE2">
        <w:rPr>
          <w:b/>
          <w:bCs/>
          <w:sz w:val="22"/>
          <w:szCs w:val="22"/>
        </w:rPr>
        <w:t xml:space="preserve"> </w:t>
      </w:r>
      <w:r w:rsidR="00D854AE">
        <w:rPr>
          <w:b/>
          <w:bCs/>
          <w:sz w:val="22"/>
          <w:szCs w:val="22"/>
        </w:rPr>
        <w:t xml:space="preserve">del Veneto orientale </w:t>
      </w:r>
      <w:r>
        <w:rPr>
          <w:sz w:val="22"/>
          <w:szCs w:val="22"/>
        </w:rPr>
        <w:t>considera l’</w:t>
      </w:r>
      <w:r w:rsidRPr="00692793">
        <w:rPr>
          <w:b/>
          <w:bCs/>
          <w:sz w:val="22"/>
          <w:szCs w:val="22"/>
        </w:rPr>
        <w:t>aumento di dazi e barriere tariffarie</w:t>
      </w:r>
      <w:r>
        <w:rPr>
          <w:sz w:val="22"/>
          <w:szCs w:val="22"/>
        </w:rPr>
        <w:t xml:space="preserve"> come il principale rischio all’internazionalizzazione (</w:t>
      </w:r>
      <w:r w:rsidR="000910A5">
        <w:rPr>
          <w:sz w:val="22"/>
          <w:szCs w:val="22"/>
        </w:rPr>
        <w:t>tre q</w:t>
      </w:r>
      <w:r w:rsidR="006737E4">
        <w:rPr>
          <w:sz w:val="22"/>
          <w:szCs w:val="22"/>
        </w:rPr>
        <w:t xml:space="preserve">uarti, </w:t>
      </w:r>
      <w:r w:rsidR="000910A5">
        <w:rPr>
          <w:sz w:val="22"/>
          <w:szCs w:val="22"/>
        </w:rPr>
        <w:t xml:space="preserve">tra prima e terza scelta), </w:t>
      </w:r>
      <w:r>
        <w:rPr>
          <w:sz w:val="22"/>
          <w:szCs w:val="22"/>
        </w:rPr>
        <w:t>seguito dall’</w:t>
      </w:r>
      <w:r w:rsidRPr="00692793">
        <w:rPr>
          <w:b/>
          <w:bCs/>
          <w:sz w:val="22"/>
          <w:szCs w:val="22"/>
        </w:rPr>
        <w:t>instabilità politic</w:t>
      </w:r>
      <w:r w:rsidR="00B05B10">
        <w:rPr>
          <w:b/>
          <w:bCs/>
          <w:sz w:val="22"/>
          <w:szCs w:val="22"/>
        </w:rPr>
        <w:t xml:space="preserve">a nei mercati esteri </w:t>
      </w:r>
      <w:r w:rsidR="000910A5">
        <w:rPr>
          <w:b/>
          <w:bCs/>
          <w:sz w:val="22"/>
          <w:szCs w:val="22"/>
        </w:rPr>
        <w:t>(27,8%</w:t>
      </w:r>
      <w:r w:rsidR="000910A5" w:rsidRPr="000910A5">
        <w:rPr>
          <w:sz w:val="22"/>
          <w:szCs w:val="22"/>
        </w:rPr>
        <w:t>, 64,9</w:t>
      </w:r>
      <w:r w:rsidR="00F96010">
        <w:rPr>
          <w:sz w:val="22"/>
          <w:szCs w:val="22"/>
        </w:rPr>
        <w:t xml:space="preserve">% </w:t>
      </w:r>
      <w:r w:rsidR="000910A5" w:rsidRPr="000910A5">
        <w:rPr>
          <w:sz w:val="22"/>
          <w:szCs w:val="22"/>
        </w:rPr>
        <w:t xml:space="preserve">tra prima e terza scelta) </w:t>
      </w:r>
      <w:r w:rsidRPr="000910A5">
        <w:rPr>
          <w:sz w:val="22"/>
          <w:szCs w:val="22"/>
        </w:rPr>
        <w:t xml:space="preserve">e </w:t>
      </w:r>
      <w:r>
        <w:rPr>
          <w:b/>
          <w:bCs/>
          <w:sz w:val="22"/>
          <w:szCs w:val="22"/>
        </w:rPr>
        <w:t>aumento dei c</w:t>
      </w:r>
      <w:r w:rsidR="00DD677E">
        <w:rPr>
          <w:b/>
          <w:bCs/>
          <w:sz w:val="22"/>
          <w:szCs w:val="22"/>
        </w:rPr>
        <w:t xml:space="preserve">osti di </w:t>
      </w:r>
      <w:r>
        <w:rPr>
          <w:b/>
          <w:bCs/>
          <w:sz w:val="22"/>
          <w:szCs w:val="22"/>
        </w:rPr>
        <w:t>trasporto e logistica</w:t>
      </w:r>
      <w:r w:rsidR="000910A5">
        <w:rPr>
          <w:b/>
          <w:bCs/>
          <w:sz w:val="22"/>
          <w:szCs w:val="22"/>
        </w:rPr>
        <w:t xml:space="preserve"> (</w:t>
      </w:r>
      <w:r w:rsidR="006737E4">
        <w:rPr>
          <w:b/>
          <w:bCs/>
          <w:sz w:val="22"/>
          <w:szCs w:val="22"/>
        </w:rPr>
        <w:t>13,6%)</w:t>
      </w:r>
      <w:r w:rsidR="006737E4" w:rsidRPr="006737E4">
        <w:rPr>
          <w:sz w:val="22"/>
          <w:szCs w:val="22"/>
        </w:rPr>
        <w:t>.</w:t>
      </w:r>
    </w:p>
    <w:p w14:paraId="1E8BC0F6" w14:textId="59C613B7" w:rsidR="00911B12" w:rsidRDefault="00824FA4" w:rsidP="00B0429A">
      <w:pPr>
        <w:pStyle w:val="NormaleWeb"/>
        <w:tabs>
          <w:tab w:val="left" w:pos="3119"/>
          <w:tab w:val="left" w:pos="9072"/>
        </w:tabs>
        <w:overflowPunct w:val="0"/>
        <w:ind w:left="284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La risposta strategica</w:t>
      </w:r>
      <w:r w:rsidR="008E162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all’incertezza global</w:t>
      </w:r>
      <w:r w:rsidR="003D6BE2">
        <w:rPr>
          <w:color w:val="000000" w:themeColor="text1"/>
          <w:sz w:val="22"/>
          <w:szCs w:val="22"/>
        </w:rPr>
        <w:t xml:space="preserve">e messa in atto </w:t>
      </w:r>
      <w:r w:rsidR="008E162E">
        <w:rPr>
          <w:color w:val="000000" w:themeColor="text1"/>
          <w:sz w:val="22"/>
          <w:szCs w:val="22"/>
        </w:rPr>
        <w:t>per mitigare le vulnerabilit</w:t>
      </w:r>
      <w:r w:rsidR="00E25002">
        <w:rPr>
          <w:color w:val="000000" w:themeColor="text1"/>
          <w:sz w:val="22"/>
          <w:szCs w:val="22"/>
        </w:rPr>
        <w:t>à</w:t>
      </w:r>
      <w:r w:rsidR="00B0429A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è stata in prevalenza la </w:t>
      </w:r>
      <w:r w:rsidRPr="008E162E">
        <w:rPr>
          <w:b/>
          <w:bCs/>
          <w:color w:val="000000" w:themeColor="text1"/>
          <w:sz w:val="22"/>
          <w:szCs w:val="22"/>
        </w:rPr>
        <w:t>diversificazione dei mercat</w:t>
      </w:r>
      <w:r w:rsidR="008E162E" w:rsidRPr="008E162E">
        <w:rPr>
          <w:b/>
          <w:bCs/>
          <w:color w:val="000000" w:themeColor="text1"/>
          <w:sz w:val="22"/>
          <w:szCs w:val="22"/>
        </w:rPr>
        <w:t>i di sbocco (</w:t>
      </w:r>
      <w:r w:rsidR="00F96010">
        <w:rPr>
          <w:b/>
          <w:bCs/>
          <w:color w:val="000000" w:themeColor="text1"/>
          <w:sz w:val="22"/>
          <w:szCs w:val="22"/>
        </w:rPr>
        <w:t xml:space="preserve">per il </w:t>
      </w:r>
      <w:r w:rsidR="008E162E" w:rsidRPr="008E162E">
        <w:rPr>
          <w:b/>
          <w:bCs/>
          <w:color w:val="000000" w:themeColor="text1"/>
          <w:sz w:val="22"/>
          <w:szCs w:val="22"/>
        </w:rPr>
        <w:t>54,8%)</w:t>
      </w:r>
      <w:r w:rsidR="008E162E">
        <w:rPr>
          <w:color w:val="000000" w:themeColor="text1"/>
          <w:sz w:val="22"/>
          <w:szCs w:val="22"/>
        </w:rPr>
        <w:t>, seguita d</w:t>
      </w:r>
      <w:r w:rsidR="00A54F0C">
        <w:rPr>
          <w:color w:val="000000" w:themeColor="text1"/>
          <w:sz w:val="22"/>
          <w:szCs w:val="22"/>
        </w:rPr>
        <w:t xml:space="preserve">alla </w:t>
      </w:r>
      <w:r w:rsidR="00A54F0C" w:rsidRPr="00A54F0C">
        <w:rPr>
          <w:b/>
          <w:bCs/>
          <w:color w:val="000000" w:themeColor="text1"/>
          <w:sz w:val="22"/>
          <w:szCs w:val="22"/>
        </w:rPr>
        <w:t xml:space="preserve">diversificazione </w:t>
      </w:r>
      <w:r w:rsidR="00DD677E" w:rsidRPr="00A54F0C">
        <w:rPr>
          <w:b/>
          <w:bCs/>
          <w:color w:val="000000" w:themeColor="text1"/>
          <w:sz w:val="22"/>
          <w:szCs w:val="22"/>
        </w:rPr>
        <w:t>d</w:t>
      </w:r>
      <w:r w:rsidR="00DD677E">
        <w:rPr>
          <w:b/>
          <w:bCs/>
          <w:color w:val="000000" w:themeColor="text1"/>
          <w:sz w:val="22"/>
          <w:szCs w:val="22"/>
        </w:rPr>
        <w:t xml:space="preserve">ei fornitori </w:t>
      </w:r>
      <w:r w:rsidR="008E162E" w:rsidRPr="008E162E">
        <w:rPr>
          <w:b/>
          <w:bCs/>
          <w:color w:val="000000" w:themeColor="text1"/>
          <w:sz w:val="22"/>
          <w:szCs w:val="22"/>
        </w:rPr>
        <w:t>(31,6%)</w:t>
      </w:r>
      <w:r w:rsidR="008E162E">
        <w:rPr>
          <w:color w:val="000000" w:themeColor="text1"/>
          <w:sz w:val="22"/>
          <w:szCs w:val="22"/>
        </w:rPr>
        <w:t xml:space="preserve"> e </w:t>
      </w:r>
      <w:r w:rsidR="008E162E" w:rsidRPr="008E162E">
        <w:rPr>
          <w:b/>
          <w:bCs/>
          <w:color w:val="000000" w:themeColor="text1"/>
          <w:sz w:val="22"/>
          <w:szCs w:val="22"/>
        </w:rPr>
        <w:t>a</w:t>
      </w:r>
      <w:r w:rsidR="00DD677E">
        <w:rPr>
          <w:b/>
          <w:bCs/>
          <w:color w:val="000000" w:themeColor="text1"/>
          <w:sz w:val="22"/>
          <w:szCs w:val="22"/>
        </w:rPr>
        <w:t xml:space="preserve">umento della </w:t>
      </w:r>
      <w:r w:rsidR="008E162E" w:rsidRPr="008E162E">
        <w:rPr>
          <w:b/>
          <w:bCs/>
          <w:color w:val="000000" w:themeColor="text1"/>
          <w:sz w:val="22"/>
          <w:szCs w:val="22"/>
        </w:rPr>
        <w:t>flessibilità produttiva e logistica (33,1%</w:t>
      </w:r>
      <w:r w:rsidR="008E162E">
        <w:rPr>
          <w:color w:val="000000" w:themeColor="text1"/>
          <w:sz w:val="22"/>
          <w:szCs w:val="22"/>
        </w:rPr>
        <w:t>)</w:t>
      </w:r>
      <w:r w:rsidR="00D518D7">
        <w:rPr>
          <w:color w:val="000000" w:themeColor="text1"/>
          <w:sz w:val="22"/>
          <w:szCs w:val="22"/>
        </w:rPr>
        <w:t xml:space="preserve">. Oltre alla </w:t>
      </w:r>
      <w:r w:rsidR="00D518D7" w:rsidRPr="00D518D7">
        <w:rPr>
          <w:b/>
          <w:bCs/>
          <w:color w:val="000000" w:themeColor="text1"/>
          <w:sz w:val="22"/>
          <w:szCs w:val="22"/>
        </w:rPr>
        <w:t>riorganizzazione delle reti di fornitura</w:t>
      </w:r>
      <w:r w:rsidR="00D518D7">
        <w:rPr>
          <w:color w:val="000000" w:themeColor="text1"/>
          <w:sz w:val="22"/>
          <w:szCs w:val="22"/>
        </w:rPr>
        <w:t xml:space="preserve"> verso Paesi più vicini o amici </w:t>
      </w:r>
      <w:r w:rsidR="00D518D7" w:rsidRPr="00D518D7">
        <w:rPr>
          <w:color w:val="000000" w:themeColor="text1"/>
          <w:sz w:val="22"/>
          <w:szCs w:val="22"/>
        </w:rPr>
        <w:t>(</w:t>
      </w:r>
      <w:r w:rsidR="00D518D7" w:rsidRPr="00D518D7">
        <w:rPr>
          <w:i/>
          <w:iCs/>
          <w:color w:val="000000" w:themeColor="text1"/>
          <w:sz w:val="22"/>
          <w:szCs w:val="22"/>
        </w:rPr>
        <w:t>friend</w:t>
      </w:r>
      <w:r w:rsidR="00D518D7">
        <w:rPr>
          <w:i/>
          <w:iCs/>
          <w:color w:val="000000" w:themeColor="text1"/>
          <w:sz w:val="22"/>
          <w:szCs w:val="22"/>
        </w:rPr>
        <w:t>-</w:t>
      </w:r>
      <w:proofErr w:type="spellStart"/>
      <w:r w:rsidR="00D518D7" w:rsidRPr="00D518D7">
        <w:rPr>
          <w:i/>
          <w:iCs/>
          <w:color w:val="000000" w:themeColor="text1"/>
          <w:sz w:val="22"/>
          <w:szCs w:val="22"/>
        </w:rPr>
        <w:t>shoring</w:t>
      </w:r>
      <w:proofErr w:type="spellEnd"/>
      <w:r w:rsidR="00D518D7" w:rsidRPr="00D518D7">
        <w:rPr>
          <w:color w:val="000000" w:themeColor="text1"/>
          <w:sz w:val="22"/>
          <w:szCs w:val="22"/>
        </w:rPr>
        <w:t>) per maggiore sicurezza degli approvvigionamenti: il 36,8% ha cambiato almeno un fornitore strategico nell’ultimo bienni</w:t>
      </w:r>
      <w:r w:rsidR="00D854AE">
        <w:rPr>
          <w:color w:val="000000" w:themeColor="text1"/>
          <w:sz w:val="22"/>
          <w:szCs w:val="22"/>
        </w:rPr>
        <w:t>o (31,3%</w:t>
      </w:r>
      <w:r w:rsidR="00A54F0C">
        <w:rPr>
          <w:color w:val="000000" w:themeColor="text1"/>
          <w:sz w:val="22"/>
          <w:szCs w:val="22"/>
        </w:rPr>
        <w:t xml:space="preserve"> nel 2022-2023</w:t>
      </w:r>
      <w:r w:rsidR="00D854AE">
        <w:rPr>
          <w:color w:val="000000" w:themeColor="text1"/>
          <w:sz w:val="22"/>
          <w:szCs w:val="22"/>
        </w:rPr>
        <w:t xml:space="preserve">), </w:t>
      </w:r>
      <w:r w:rsidR="00D518D7" w:rsidRPr="00D518D7">
        <w:rPr>
          <w:color w:val="000000" w:themeColor="text1"/>
          <w:sz w:val="22"/>
          <w:szCs w:val="22"/>
        </w:rPr>
        <w:t xml:space="preserve">di queste, il 61,5% con fornitori italiani. </w:t>
      </w:r>
      <w:r w:rsidR="008E162E">
        <w:rPr>
          <w:color w:val="000000" w:themeColor="text1"/>
          <w:sz w:val="22"/>
          <w:szCs w:val="22"/>
        </w:rPr>
        <w:t xml:space="preserve"> </w:t>
      </w:r>
    </w:p>
    <w:p w14:paraId="50B7124B" w14:textId="77777777" w:rsidR="00824FA4" w:rsidRPr="00911B12" w:rsidRDefault="00824FA4" w:rsidP="00D31D4B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color w:val="000000" w:themeColor="text1"/>
          <w:sz w:val="22"/>
          <w:szCs w:val="22"/>
        </w:rPr>
      </w:pPr>
    </w:p>
    <w:p w14:paraId="0967E3C4" w14:textId="3E42AA4A" w:rsidR="00911B12" w:rsidRPr="00911B12" w:rsidRDefault="00911B12" w:rsidP="005608AF">
      <w:pPr>
        <w:pStyle w:val="NormaleWeb"/>
        <w:numPr>
          <w:ilvl w:val="0"/>
          <w:numId w:val="7"/>
        </w:numPr>
        <w:tabs>
          <w:tab w:val="left" w:pos="9072"/>
        </w:tabs>
        <w:overflowPunct w:val="0"/>
        <w:spacing w:after="120"/>
        <w:ind w:left="284" w:hanging="284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Germania e Stati Uniti: l’incertezza rimanda la risposta delle imprese</w:t>
      </w:r>
    </w:p>
    <w:p w14:paraId="7A28BFA9" w14:textId="5C9DE128" w:rsidR="00824F7E" w:rsidRDefault="00F61287" w:rsidP="005608AF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Pr="00F61287">
        <w:rPr>
          <w:b/>
          <w:bCs/>
          <w:sz w:val="22"/>
          <w:szCs w:val="22"/>
        </w:rPr>
        <w:t>Germania</w:t>
      </w:r>
      <w:r>
        <w:rPr>
          <w:sz w:val="22"/>
          <w:szCs w:val="22"/>
        </w:rPr>
        <w:t xml:space="preserve"> si conferm</w:t>
      </w:r>
      <w:r w:rsidR="00E25002">
        <w:rPr>
          <w:sz w:val="22"/>
          <w:szCs w:val="22"/>
        </w:rPr>
        <w:t xml:space="preserve">a un </w:t>
      </w:r>
      <w:r>
        <w:rPr>
          <w:sz w:val="22"/>
          <w:szCs w:val="22"/>
        </w:rPr>
        <w:t>mercato di riferi</w:t>
      </w:r>
      <w:r w:rsidR="00E25002">
        <w:rPr>
          <w:sz w:val="22"/>
          <w:szCs w:val="22"/>
        </w:rPr>
        <w:t xml:space="preserve">mento: </w:t>
      </w:r>
      <w:r>
        <w:rPr>
          <w:sz w:val="22"/>
          <w:szCs w:val="22"/>
        </w:rPr>
        <w:t xml:space="preserve">circa </w:t>
      </w:r>
      <w:r w:rsidRPr="00F61287">
        <w:rPr>
          <w:b/>
          <w:bCs/>
          <w:sz w:val="22"/>
          <w:szCs w:val="22"/>
        </w:rPr>
        <w:t>7 impres</w:t>
      </w:r>
      <w:r w:rsidR="00944AB8">
        <w:rPr>
          <w:b/>
          <w:bCs/>
          <w:sz w:val="22"/>
          <w:szCs w:val="22"/>
        </w:rPr>
        <w:t xml:space="preserve">e manifatturiere </w:t>
      </w:r>
      <w:r w:rsidRPr="00F61287">
        <w:rPr>
          <w:b/>
          <w:bCs/>
          <w:sz w:val="22"/>
          <w:szCs w:val="22"/>
        </w:rPr>
        <w:t>su 10</w:t>
      </w:r>
      <w:r w:rsidR="00824F7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esportano a Berlino (74,7%</w:t>
      </w:r>
      <w:r w:rsidR="00D854AE">
        <w:rPr>
          <w:sz w:val="22"/>
          <w:szCs w:val="22"/>
        </w:rPr>
        <w:t xml:space="preserve"> nel </w:t>
      </w:r>
      <w:r>
        <w:rPr>
          <w:sz w:val="22"/>
          <w:szCs w:val="22"/>
        </w:rPr>
        <w:t>metalmeccanico, 46,1% nei servizi)</w:t>
      </w:r>
      <w:r w:rsidR="00A6419E">
        <w:rPr>
          <w:sz w:val="22"/>
          <w:szCs w:val="22"/>
        </w:rPr>
        <w:t>. La debolezza dell’economia tedesca si è riflessa solo moderatamente sull’export: nei primi 9 mesi</w:t>
      </w:r>
      <w:r w:rsidR="00E25002">
        <w:rPr>
          <w:sz w:val="22"/>
          <w:szCs w:val="22"/>
        </w:rPr>
        <w:t xml:space="preserve"> del </w:t>
      </w:r>
      <w:r w:rsidR="00A6419E">
        <w:rPr>
          <w:sz w:val="22"/>
          <w:szCs w:val="22"/>
        </w:rPr>
        <w:t xml:space="preserve">2025 prevale la </w:t>
      </w:r>
      <w:r w:rsidR="00A6419E" w:rsidRPr="00A6419E">
        <w:rPr>
          <w:b/>
          <w:bCs/>
          <w:sz w:val="22"/>
          <w:szCs w:val="22"/>
        </w:rPr>
        <w:t>stabilità per il 48,5% delle manifatturiere</w:t>
      </w:r>
      <w:r w:rsidR="00A6419E">
        <w:rPr>
          <w:sz w:val="22"/>
          <w:szCs w:val="22"/>
        </w:rPr>
        <w:t xml:space="preserve"> (51,6% oltre i 50 addetti, 61,7% nei servizi), a fronte di </w:t>
      </w:r>
      <w:r w:rsidR="00A6419E" w:rsidRPr="00A6419E">
        <w:rPr>
          <w:b/>
          <w:bCs/>
          <w:sz w:val="22"/>
          <w:szCs w:val="22"/>
        </w:rPr>
        <w:t>un terzo (33,4</w:t>
      </w:r>
      <w:r w:rsidR="00A6419E">
        <w:rPr>
          <w:b/>
          <w:bCs/>
          <w:sz w:val="22"/>
          <w:szCs w:val="22"/>
        </w:rPr>
        <w:t>%</w:t>
      </w:r>
      <w:r w:rsidR="00A6419E" w:rsidRPr="00A6419E">
        <w:rPr>
          <w:b/>
          <w:bCs/>
          <w:sz w:val="22"/>
          <w:szCs w:val="22"/>
        </w:rPr>
        <w:t>)</w:t>
      </w:r>
      <w:r w:rsidR="00A6419E">
        <w:rPr>
          <w:sz w:val="22"/>
          <w:szCs w:val="22"/>
        </w:rPr>
        <w:t xml:space="preserve"> che dichiara una diminuzione</w:t>
      </w:r>
      <w:r w:rsidR="00453AC9">
        <w:rPr>
          <w:sz w:val="22"/>
          <w:szCs w:val="22"/>
        </w:rPr>
        <w:t>.</w:t>
      </w:r>
    </w:p>
    <w:p w14:paraId="4FBB87C7" w14:textId="28F2E2E8" w:rsidR="0015047F" w:rsidRDefault="00453AC9" w:rsidP="0015047F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Gli </w:t>
      </w:r>
      <w:r w:rsidRPr="00824F7E">
        <w:rPr>
          <w:b/>
          <w:bCs/>
          <w:sz w:val="22"/>
          <w:szCs w:val="22"/>
        </w:rPr>
        <w:t>Stati Uniti</w:t>
      </w:r>
      <w:r w:rsidR="00944AB8">
        <w:rPr>
          <w:sz w:val="22"/>
          <w:szCs w:val="22"/>
        </w:rPr>
        <w:t xml:space="preserve"> </w:t>
      </w:r>
      <w:r w:rsidR="00E25002">
        <w:rPr>
          <w:sz w:val="22"/>
          <w:szCs w:val="22"/>
        </w:rPr>
        <w:t xml:space="preserve">sono </w:t>
      </w:r>
      <w:r>
        <w:rPr>
          <w:sz w:val="22"/>
          <w:szCs w:val="22"/>
        </w:rPr>
        <w:t>un mercato selettivo, presidiato soprattutto dalla manifattura (44,4% delle imprese</w:t>
      </w:r>
      <w:r w:rsidR="00E25002">
        <w:rPr>
          <w:sz w:val="22"/>
          <w:szCs w:val="22"/>
        </w:rPr>
        <w:t xml:space="preserve">, </w:t>
      </w:r>
      <w:r>
        <w:rPr>
          <w:sz w:val="22"/>
          <w:szCs w:val="22"/>
        </w:rPr>
        <w:t>51,1%</w:t>
      </w:r>
      <w:r w:rsidR="00AD5620">
        <w:rPr>
          <w:sz w:val="22"/>
          <w:szCs w:val="22"/>
        </w:rPr>
        <w:t xml:space="preserve"> oltre </w:t>
      </w:r>
      <w:r>
        <w:rPr>
          <w:sz w:val="22"/>
          <w:szCs w:val="22"/>
        </w:rPr>
        <w:t>50 addetti).</w:t>
      </w:r>
      <w:r w:rsidR="00877DE7">
        <w:rPr>
          <w:sz w:val="22"/>
          <w:szCs w:val="22"/>
        </w:rPr>
        <w:t xml:space="preserve"> La maggioranza dichiara di essere stata colpita dai dazi, seppur</w:t>
      </w:r>
      <w:r w:rsidR="0015047F">
        <w:rPr>
          <w:sz w:val="22"/>
          <w:szCs w:val="22"/>
        </w:rPr>
        <w:t xml:space="preserve"> </w:t>
      </w:r>
      <w:r w:rsidR="00877DE7">
        <w:rPr>
          <w:sz w:val="22"/>
          <w:szCs w:val="22"/>
        </w:rPr>
        <w:t xml:space="preserve">in misura </w:t>
      </w:r>
      <w:r w:rsidR="00E25002">
        <w:rPr>
          <w:sz w:val="22"/>
          <w:szCs w:val="22"/>
        </w:rPr>
        <w:t>“</w:t>
      </w:r>
      <w:r w:rsidR="00877DE7">
        <w:rPr>
          <w:sz w:val="22"/>
          <w:szCs w:val="22"/>
        </w:rPr>
        <w:t>molto limitata</w:t>
      </w:r>
      <w:r w:rsidR="00E25002">
        <w:rPr>
          <w:sz w:val="22"/>
          <w:szCs w:val="22"/>
        </w:rPr>
        <w:t>”</w:t>
      </w:r>
      <w:r w:rsidR="00877DE7">
        <w:rPr>
          <w:sz w:val="22"/>
          <w:szCs w:val="22"/>
        </w:rPr>
        <w:t xml:space="preserve"> (35,3%) o </w:t>
      </w:r>
      <w:r w:rsidR="00E25002">
        <w:rPr>
          <w:sz w:val="22"/>
          <w:szCs w:val="22"/>
        </w:rPr>
        <w:t>“</w:t>
      </w:r>
      <w:r w:rsidR="00877DE7">
        <w:rPr>
          <w:sz w:val="22"/>
          <w:szCs w:val="22"/>
        </w:rPr>
        <w:t>moderata</w:t>
      </w:r>
      <w:r w:rsidR="00E25002">
        <w:rPr>
          <w:sz w:val="22"/>
          <w:szCs w:val="22"/>
        </w:rPr>
        <w:t>”</w:t>
      </w:r>
      <w:r w:rsidR="00877DE7">
        <w:rPr>
          <w:sz w:val="22"/>
          <w:szCs w:val="22"/>
        </w:rPr>
        <w:t xml:space="preserve"> (32,1</w:t>
      </w:r>
      <w:r w:rsidR="00AD5620">
        <w:rPr>
          <w:sz w:val="22"/>
          <w:szCs w:val="22"/>
        </w:rPr>
        <w:t>%</w:t>
      </w:r>
      <w:r w:rsidR="00877DE7">
        <w:rPr>
          <w:sz w:val="22"/>
          <w:szCs w:val="22"/>
        </w:rPr>
        <w:t>). Gli effetti più intensi si concentrano s</w:t>
      </w:r>
      <w:r w:rsidR="0015047F">
        <w:rPr>
          <w:sz w:val="22"/>
          <w:szCs w:val="22"/>
        </w:rPr>
        <w:t xml:space="preserve">ul </w:t>
      </w:r>
      <w:r w:rsidR="0015047F" w:rsidRPr="0015047F">
        <w:rPr>
          <w:b/>
          <w:bCs/>
          <w:sz w:val="22"/>
          <w:szCs w:val="22"/>
        </w:rPr>
        <w:t xml:space="preserve">17,3% </w:t>
      </w:r>
      <w:r w:rsidR="00877DE7" w:rsidRPr="0015047F">
        <w:rPr>
          <w:b/>
          <w:bCs/>
          <w:sz w:val="22"/>
          <w:szCs w:val="22"/>
        </w:rPr>
        <w:t>d</w:t>
      </w:r>
      <w:r w:rsidR="0015047F" w:rsidRPr="0015047F">
        <w:rPr>
          <w:b/>
          <w:bCs/>
          <w:sz w:val="22"/>
          <w:szCs w:val="22"/>
        </w:rPr>
        <w:t>elle manifatturiere</w:t>
      </w:r>
      <w:r w:rsidR="00780214">
        <w:rPr>
          <w:sz w:val="22"/>
          <w:szCs w:val="22"/>
        </w:rPr>
        <w:t xml:space="preserve"> </w:t>
      </w:r>
      <w:r w:rsidR="00877DE7">
        <w:rPr>
          <w:sz w:val="22"/>
          <w:szCs w:val="22"/>
        </w:rPr>
        <w:t>che</w:t>
      </w:r>
      <w:r w:rsidR="00877DE7" w:rsidRPr="00D854AE">
        <w:rPr>
          <w:sz w:val="22"/>
          <w:szCs w:val="22"/>
        </w:rPr>
        <w:t xml:space="preserve"> </w:t>
      </w:r>
      <w:r w:rsidR="00824F7E" w:rsidRPr="00D854AE">
        <w:rPr>
          <w:sz w:val="22"/>
          <w:szCs w:val="22"/>
        </w:rPr>
        <w:t>dichia</w:t>
      </w:r>
      <w:r w:rsidR="00E25002" w:rsidRPr="00D854AE">
        <w:rPr>
          <w:sz w:val="22"/>
          <w:szCs w:val="22"/>
        </w:rPr>
        <w:t xml:space="preserve">rano </w:t>
      </w:r>
      <w:r w:rsidR="00E25002">
        <w:rPr>
          <w:b/>
          <w:bCs/>
          <w:sz w:val="22"/>
          <w:szCs w:val="22"/>
        </w:rPr>
        <w:t>“</w:t>
      </w:r>
      <w:r w:rsidR="00824F7E" w:rsidRPr="00944AB8">
        <w:rPr>
          <w:b/>
          <w:bCs/>
          <w:sz w:val="22"/>
          <w:szCs w:val="22"/>
        </w:rPr>
        <w:t>impatto significativo</w:t>
      </w:r>
      <w:r w:rsidR="00E25002">
        <w:rPr>
          <w:b/>
          <w:bCs/>
          <w:sz w:val="22"/>
          <w:szCs w:val="22"/>
        </w:rPr>
        <w:t>”</w:t>
      </w:r>
      <w:r w:rsidR="00824F7E" w:rsidRPr="00944AB8">
        <w:rPr>
          <w:b/>
          <w:bCs/>
          <w:sz w:val="22"/>
          <w:szCs w:val="22"/>
        </w:rPr>
        <w:t xml:space="preserve"> (15,7%)</w:t>
      </w:r>
      <w:r w:rsidR="00824F7E" w:rsidRPr="00D854AE">
        <w:rPr>
          <w:sz w:val="22"/>
          <w:szCs w:val="22"/>
        </w:rPr>
        <w:t xml:space="preserve"> o </w:t>
      </w:r>
      <w:r w:rsidR="00E25002">
        <w:rPr>
          <w:b/>
          <w:bCs/>
          <w:sz w:val="22"/>
          <w:szCs w:val="22"/>
        </w:rPr>
        <w:t>“</w:t>
      </w:r>
      <w:r w:rsidR="00824F7E" w:rsidRPr="00944AB8">
        <w:rPr>
          <w:b/>
          <w:bCs/>
          <w:sz w:val="22"/>
          <w:szCs w:val="22"/>
        </w:rPr>
        <w:t>molto grave</w:t>
      </w:r>
      <w:r w:rsidR="00E25002">
        <w:rPr>
          <w:b/>
          <w:bCs/>
          <w:sz w:val="22"/>
          <w:szCs w:val="22"/>
        </w:rPr>
        <w:t>”</w:t>
      </w:r>
      <w:r w:rsidR="00824F7E" w:rsidRPr="00944AB8">
        <w:rPr>
          <w:b/>
          <w:bCs/>
          <w:sz w:val="22"/>
          <w:szCs w:val="22"/>
        </w:rPr>
        <w:t xml:space="preserve"> (</w:t>
      </w:r>
      <w:r w:rsidR="0015047F">
        <w:rPr>
          <w:b/>
          <w:bCs/>
          <w:sz w:val="22"/>
          <w:szCs w:val="22"/>
        </w:rPr>
        <w:t>1,6%</w:t>
      </w:r>
      <w:r w:rsidR="00824F7E" w:rsidRPr="00944AB8">
        <w:rPr>
          <w:b/>
          <w:bCs/>
          <w:sz w:val="22"/>
          <w:szCs w:val="22"/>
        </w:rPr>
        <w:t>)</w:t>
      </w:r>
      <w:r w:rsidR="00CE29FB">
        <w:rPr>
          <w:sz w:val="22"/>
          <w:szCs w:val="22"/>
        </w:rPr>
        <w:t xml:space="preserve">. Tra queste, la quota è superiore tra le imprese con meno di 50 addetti </w:t>
      </w:r>
      <w:r w:rsidR="0015047F">
        <w:rPr>
          <w:sz w:val="22"/>
          <w:szCs w:val="22"/>
        </w:rPr>
        <w:t xml:space="preserve">(22,3%) rispetto alle più strutturate, </w:t>
      </w:r>
      <w:r w:rsidR="0015047F" w:rsidRPr="0015047F">
        <w:rPr>
          <w:sz w:val="22"/>
          <w:szCs w:val="22"/>
        </w:rPr>
        <w:t>che dichiarano</w:t>
      </w:r>
      <w:r w:rsidR="00AD5620">
        <w:rPr>
          <w:sz w:val="22"/>
          <w:szCs w:val="22"/>
        </w:rPr>
        <w:t xml:space="preserve"> </w:t>
      </w:r>
      <w:r w:rsidR="00D854AE">
        <w:rPr>
          <w:sz w:val="22"/>
          <w:szCs w:val="22"/>
        </w:rPr>
        <w:t>“</w:t>
      </w:r>
      <w:r w:rsidR="0015047F" w:rsidRPr="0015047F">
        <w:rPr>
          <w:sz w:val="22"/>
          <w:szCs w:val="22"/>
        </w:rPr>
        <w:t>impatto limitato</w:t>
      </w:r>
      <w:r w:rsidR="00D854AE">
        <w:rPr>
          <w:sz w:val="22"/>
          <w:szCs w:val="22"/>
        </w:rPr>
        <w:t>”</w:t>
      </w:r>
      <w:r w:rsidR="0015047F" w:rsidRPr="0015047F">
        <w:rPr>
          <w:sz w:val="22"/>
          <w:szCs w:val="22"/>
        </w:rPr>
        <w:t xml:space="preserve"> (40,6%) o </w:t>
      </w:r>
      <w:r w:rsidR="00D854AE">
        <w:rPr>
          <w:sz w:val="22"/>
          <w:szCs w:val="22"/>
        </w:rPr>
        <w:t>“</w:t>
      </w:r>
      <w:r w:rsidR="0015047F" w:rsidRPr="0015047F">
        <w:rPr>
          <w:sz w:val="22"/>
          <w:szCs w:val="22"/>
        </w:rPr>
        <w:t>moderato</w:t>
      </w:r>
      <w:r w:rsidR="00D854AE">
        <w:rPr>
          <w:sz w:val="22"/>
          <w:szCs w:val="22"/>
        </w:rPr>
        <w:t>”</w:t>
      </w:r>
      <w:r w:rsidR="0015047F" w:rsidRPr="0015047F">
        <w:rPr>
          <w:sz w:val="22"/>
          <w:szCs w:val="22"/>
        </w:rPr>
        <w:t xml:space="preserve"> (38,5%)</w:t>
      </w:r>
      <w:r w:rsidR="00CE29FB">
        <w:rPr>
          <w:sz w:val="22"/>
          <w:szCs w:val="22"/>
        </w:rPr>
        <w:t xml:space="preserve"> per</w:t>
      </w:r>
      <w:r w:rsidR="00D854AE">
        <w:rPr>
          <w:sz w:val="22"/>
          <w:szCs w:val="22"/>
        </w:rPr>
        <w:t xml:space="preserve"> </w:t>
      </w:r>
      <w:r w:rsidR="0015047F" w:rsidRPr="0015047F">
        <w:rPr>
          <w:sz w:val="22"/>
          <w:szCs w:val="22"/>
        </w:rPr>
        <w:t>maggiore capacità di assorbire o gestire l’effetto dazi.</w:t>
      </w:r>
    </w:p>
    <w:p w14:paraId="722996B5" w14:textId="0F032878" w:rsidR="008A54B4" w:rsidRDefault="00AD5620" w:rsidP="0015047F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sz w:val="22"/>
        </w:rPr>
      </w:pPr>
      <w:r>
        <w:rPr>
          <w:sz w:val="22"/>
        </w:rPr>
        <w:t>La risposta</w:t>
      </w:r>
      <w:r w:rsidR="008A54B4">
        <w:rPr>
          <w:sz w:val="22"/>
        </w:rPr>
        <w:t xml:space="preserve"> </w:t>
      </w:r>
      <w:r>
        <w:rPr>
          <w:sz w:val="22"/>
        </w:rPr>
        <w:t>ai dazi statunitensi privilegia leve commerciali e o</w:t>
      </w:r>
      <w:r w:rsidR="008A54B4">
        <w:rPr>
          <w:sz w:val="22"/>
        </w:rPr>
        <w:t>rganizzativ</w:t>
      </w:r>
      <w:r w:rsidR="00780214">
        <w:rPr>
          <w:sz w:val="22"/>
        </w:rPr>
        <w:t xml:space="preserve">e: </w:t>
      </w:r>
      <w:r w:rsidR="008A54B4">
        <w:rPr>
          <w:sz w:val="22"/>
        </w:rPr>
        <w:t xml:space="preserve">la </w:t>
      </w:r>
      <w:r w:rsidRPr="00E87DCC">
        <w:rPr>
          <w:b/>
          <w:bCs/>
          <w:sz w:val="22"/>
        </w:rPr>
        <w:t>collaborazione con i fornitor</w:t>
      </w:r>
      <w:r w:rsidR="008A54B4">
        <w:rPr>
          <w:b/>
          <w:bCs/>
          <w:sz w:val="22"/>
        </w:rPr>
        <w:t>i (12,6%</w:t>
      </w:r>
      <w:r w:rsidR="00CE29FB">
        <w:rPr>
          <w:b/>
          <w:bCs/>
          <w:sz w:val="22"/>
        </w:rPr>
        <w:t xml:space="preserve">, </w:t>
      </w:r>
      <w:r w:rsidR="008A54B4">
        <w:rPr>
          <w:b/>
          <w:bCs/>
          <w:sz w:val="22"/>
        </w:rPr>
        <w:t xml:space="preserve">22,6% nei servizi) </w:t>
      </w:r>
      <w:r>
        <w:rPr>
          <w:sz w:val="22"/>
        </w:rPr>
        <w:t>e l’</w:t>
      </w:r>
      <w:r w:rsidRPr="00E87DCC">
        <w:rPr>
          <w:b/>
          <w:bCs/>
          <w:sz w:val="22"/>
        </w:rPr>
        <w:t>abbassamento dei p</w:t>
      </w:r>
      <w:r w:rsidR="008A54B4">
        <w:rPr>
          <w:b/>
          <w:bCs/>
          <w:sz w:val="22"/>
        </w:rPr>
        <w:t>rezzi di vendita</w:t>
      </w:r>
      <w:r w:rsidR="008A54B4" w:rsidRPr="008A54B4">
        <w:rPr>
          <w:sz w:val="22"/>
        </w:rPr>
        <w:t xml:space="preserve"> per assorbire gli extra-c</w:t>
      </w:r>
      <w:r w:rsidR="008A54B4">
        <w:rPr>
          <w:sz w:val="22"/>
        </w:rPr>
        <w:t xml:space="preserve">osti </w:t>
      </w:r>
      <w:r w:rsidR="008A54B4" w:rsidRPr="008A54B4">
        <w:rPr>
          <w:b/>
          <w:bCs/>
          <w:sz w:val="22"/>
        </w:rPr>
        <w:t>(11,3%)</w:t>
      </w:r>
      <w:r w:rsidR="008A54B4">
        <w:rPr>
          <w:sz w:val="22"/>
        </w:rPr>
        <w:t>, rispetto a interventi strutturali come ricollocamento della produzione o stabilimenti negli Usa.</w:t>
      </w:r>
    </w:p>
    <w:p w14:paraId="7004C0A2" w14:textId="77777777" w:rsidR="00944AB8" w:rsidRDefault="00944AB8" w:rsidP="005608AF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sz w:val="22"/>
          <w:szCs w:val="22"/>
        </w:rPr>
      </w:pPr>
    </w:p>
    <w:p w14:paraId="5339542C" w14:textId="72765C4E" w:rsidR="00911B12" w:rsidRPr="00C168FC" w:rsidRDefault="00911B12" w:rsidP="00C168FC">
      <w:pPr>
        <w:pStyle w:val="NormaleWeb"/>
        <w:numPr>
          <w:ilvl w:val="0"/>
          <w:numId w:val="7"/>
        </w:numPr>
        <w:tabs>
          <w:tab w:val="left" w:pos="9072"/>
        </w:tabs>
        <w:overflowPunct w:val="0"/>
        <w:spacing w:after="120"/>
        <w:ind w:left="284" w:hanging="284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Digitalizzazione, sostenibilità ambientale e internazionalizzazione</w:t>
      </w:r>
    </w:p>
    <w:p w14:paraId="7BBF0AFC" w14:textId="2DD4C099" w:rsidR="00DA0CE6" w:rsidRDefault="00472595" w:rsidP="00C168FC">
      <w:pPr>
        <w:pStyle w:val="NormaleWeb"/>
        <w:tabs>
          <w:tab w:val="left" w:pos="9072"/>
        </w:tabs>
        <w:overflowPunct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</w:t>
      </w:r>
      <w:r w:rsidR="005A614B">
        <w:rPr>
          <w:sz w:val="22"/>
          <w:szCs w:val="22"/>
        </w:rPr>
        <w:t>igitalizzazione e sostenibilità</w:t>
      </w:r>
      <w:r>
        <w:rPr>
          <w:sz w:val="22"/>
          <w:szCs w:val="22"/>
        </w:rPr>
        <w:t xml:space="preserve"> </w:t>
      </w:r>
      <w:r w:rsidR="005A614B">
        <w:rPr>
          <w:sz w:val="22"/>
          <w:szCs w:val="22"/>
        </w:rPr>
        <w:t>si consolidano come assi portanti delle strategie di internazionalizzazione</w:t>
      </w:r>
      <w:r w:rsidR="00250F79">
        <w:rPr>
          <w:sz w:val="22"/>
          <w:szCs w:val="22"/>
        </w:rPr>
        <w:t xml:space="preserve">. </w:t>
      </w:r>
      <w:r w:rsidR="00266EE0">
        <w:rPr>
          <w:sz w:val="22"/>
          <w:szCs w:val="22"/>
        </w:rPr>
        <w:t>Tra l</w:t>
      </w:r>
      <w:r w:rsidR="00014004">
        <w:rPr>
          <w:sz w:val="22"/>
          <w:szCs w:val="22"/>
        </w:rPr>
        <w:t xml:space="preserve">e </w:t>
      </w:r>
      <w:r w:rsidR="00014004" w:rsidRPr="00014004">
        <w:rPr>
          <w:b/>
          <w:bCs/>
          <w:sz w:val="22"/>
          <w:szCs w:val="22"/>
        </w:rPr>
        <w:t xml:space="preserve">tecnologie </w:t>
      </w:r>
      <w:r w:rsidR="00266EE0" w:rsidRPr="00014004">
        <w:rPr>
          <w:b/>
          <w:bCs/>
          <w:sz w:val="22"/>
          <w:szCs w:val="22"/>
        </w:rPr>
        <w:t>d</w:t>
      </w:r>
      <w:r w:rsidR="00266EE0" w:rsidRPr="009E09C8">
        <w:rPr>
          <w:b/>
          <w:bCs/>
          <w:sz w:val="22"/>
          <w:szCs w:val="22"/>
        </w:rPr>
        <w:t>igitali</w:t>
      </w:r>
      <w:r w:rsidR="005A614B" w:rsidRPr="005A614B">
        <w:rPr>
          <w:b/>
          <w:bCs/>
          <w:i/>
          <w:iCs/>
          <w:sz w:val="22"/>
          <w:szCs w:val="22"/>
        </w:rPr>
        <w:t>,</w:t>
      </w:r>
      <w:r w:rsidR="005A614B">
        <w:rPr>
          <w:b/>
          <w:bCs/>
          <w:sz w:val="22"/>
          <w:szCs w:val="22"/>
        </w:rPr>
        <w:t xml:space="preserve"> </w:t>
      </w:r>
      <w:r w:rsidR="00266EE0">
        <w:rPr>
          <w:sz w:val="22"/>
          <w:szCs w:val="22"/>
        </w:rPr>
        <w:t>quasi metà delle manifatturiere (48,3%; 42,1</w:t>
      </w:r>
      <w:r w:rsidR="009E09C8">
        <w:rPr>
          <w:sz w:val="22"/>
          <w:szCs w:val="22"/>
        </w:rPr>
        <w:t xml:space="preserve">% </w:t>
      </w:r>
      <w:r w:rsidR="00266EE0">
        <w:rPr>
          <w:sz w:val="22"/>
          <w:szCs w:val="22"/>
        </w:rPr>
        <w:t>nei servizi) aumenterà la presenza online (siti web,</w:t>
      </w:r>
      <w:r w:rsidR="005A614B">
        <w:rPr>
          <w:sz w:val="22"/>
          <w:szCs w:val="22"/>
        </w:rPr>
        <w:t xml:space="preserve"> social, etc.</w:t>
      </w:r>
      <w:r w:rsidR="00266EE0">
        <w:rPr>
          <w:sz w:val="22"/>
          <w:szCs w:val="22"/>
        </w:rPr>
        <w:t>), il 23,4% l’ha già fatto. Seguono investimenti nel marketing digitale (30%</w:t>
      </w:r>
      <w:r w:rsidR="009E09C8">
        <w:rPr>
          <w:sz w:val="22"/>
          <w:szCs w:val="22"/>
        </w:rPr>
        <w:t>, 36,1% nei servizi</w:t>
      </w:r>
      <w:r w:rsidR="00266EE0">
        <w:rPr>
          <w:sz w:val="22"/>
          <w:szCs w:val="22"/>
        </w:rPr>
        <w:t>)</w:t>
      </w:r>
      <w:r w:rsidR="009E09C8">
        <w:rPr>
          <w:sz w:val="22"/>
          <w:szCs w:val="22"/>
        </w:rPr>
        <w:t xml:space="preserve">. </w:t>
      </w:r>
      <w:r w:rsidR="00C168FC">
        <w:rPr>
          <w:sz w:val="22"/>
          <w:szCs w:val="22"/>
        </w:rPr>
        <w:t>Cresc</w:t>
      </w:r>
      <w:r w:rsidR="005A614B">
        <w:rPr>
          <w:sz w:val="22"/>
          <w:szCs w:val="22"/>
        </w:rPr>
        <w:t>e la percezione dell’</w:t>
      </w:r>
      <w:r w:rsidR="00014004">
        <w:rPr>
          <w:b/>
          <w:bCs/>
          <w:sz w:val="22"/>
          <w:szCs w:val="22"/>
        </w:rPr>
        <w:t>I</w:t>
      </w:r>
      <w:r w:rsidR="00C168FC" w:rsidRPr="0019289B">
        <w:rPr>
          <w:b/>
          <w:bCs/>
          <w:sz w:val="22"/>
          <w:szCs w:val="22"/>
        </w:rPr>
        <w:t>ntelligenza artificiale</w:t>
      </w:r>
      <w:r w:rsidR="005A614B">
        <w:rPr>
          <w:sz w:val="22"/>
          <w:szCs w:val="22"/>
        </w:rPr>
        <w:t xml:space="preserve"> come tecnologia strategica. </w:t>
      </w:r>
      <w:r w:rsidR="009E09C8">
        <w:rPr>
          <w:sz w:val="22"/>
          <w:szCs w:val="22"/>
        </w:rPr>
        <w:t>Le valutazioni di maggiore impatto</w:t>
      </w:r>
      <w:r w:rsidR="00D73036">
        <w:rPr>
          <w:sz w:val="22"/>
          <w:szCs w:val="22"/>
        </w:rPr>
        <w:t xml:space="preserve"> </w:t>
      </w:r>
      <w:r w:rsidR="009E09C8">
        <w:rPr>
          <w:sz w:val="22"/>
          <w:szCs w:val="22"/>
        </w:rPr>
        <w:t xml:space="preserve">riguardano </w:t>
      </w:r>
      <w:r w:rsidR="005A614B">
        <w:rPr>
          <w:sz w:val="22"/>
          <w:szCs w:val="22"/>
        </w:rPr>
        <w:t>l’</w:t>
      </w:r>
      <w:r w:rsidR="00DA0CE6" w:rsidRPr="00444226">
        <w:rPr>
          <w:b/>
          <w:bCs/>
          <w:sz w:val="22"/>
          <w:szCs w:val="22"/>
        </w:rPr>
        <w:t>AI per</w:t>
      </w:r>
      <w:r w:rsidR="009E09C8">
        <w:rPr>
          <w:b/>
          <w:bCs/>
          <w:sz w:val="22"/>
          <w:szCs w:val="22"/>
        </w:rPr>
        <w:t xml:space="preserve"> </w:t>
      </w:r>
      <w:r w:rsidR="002C33E9">
        <w:rPr>
          <w:b/>
          <w:bCs/>
          <w:sz w:val="22"/>
          <w:szCs w:val="22"/>
        </w:rPr>
        <w:t>l’</w:t>
      </w:r>
      <w:r w:rsidR="00DA0CE6" w:rsidRPr="00444226">
        <w:rPr>
          <w:b/>
          <w:bCs/>
          <w:sz w:val="22"/>
          <w:szCs w:val="22"/>
        </w:rPr>
        <w:t>analisi di mercato e</w:t>
      </w:r>
      <w:r w:rsidR="00266EE0">
        <w:rPr>
          <w:b/>
          <w:bCs/>
          <w:sz w:val="22"/>
          <w:szCs w:val="22"/>
        </w:rPr>
        <w:t xml:space="preserve"> </w:t>
      </w:r>
      <w:r w:rsidR="00DA0CE6" w:rsidRPr="00444226">
        <w:rPr>
          <w:b/>
          <w:bCs/>
          <w:sz w:val="22"/>
          <w:szCs w:val="22"/>
        </w:rPr>
        <w:t>concorrenti</w:t>
      </w:r>
      <w:r w:rsidR="00DA0CE6">
        <w:rPr>
          <w:sz w:val="22"/>
          <w:szCs w:val="22"/>
        </w:rPr>
        <w:t>,</w:t>
      </w:r>
      <w:r w:rsidR="009E09C8">
        <w:rPr>
          <w:sz w:val="22"/>
          <w:szCs w:val="22"/>
        </w:rPr>
        <w:t xml:space="preserve"> </w:t>
      </w:r>
      <w:r w:rsidR="00DA0CE6" w:rsidRPr="00444226">
        <w:rPr>
          <w:b/>
          <w:bCs/>
          <w:sz w:val="22"/>
          <w:szCs w:val="22"/>
        </w:rPr>
        <w:t>AI per il marketing digitale</w:t>
      </w:r>
      <w:r w:rsidR="00DA0CE6">
        <w:rPr>
          <w:sz w:val="22"/>
          <w:szCs w:val="22"/>
        </w:rPr>
        <w:t>, seguono</w:t>
      </w:r>
      <w:r w:rsidR="00444226">
        <w:rPr>
          <w:sz w:val="22"/>
          <w:szCs w:val="22"/>
        </w:rPr>
        <w:t xml:space="preserve"> </w:t>
      </w:r>
      <w:r w:rsidR="00DA0CE6">
        <w:rPr>
          <w:sz w:val="22"/>
          <w:szCs w:val="22"/>
        </w:rPr>
        <w:t>AI per l’assistenza clienti,</w:t>
      </w:r>
      <w:r w:rsidR="00444226">
        <w:rPr>
          <w:sz w:val="22"/>
          <w:szCs w:val="22"/>
        </w:rPr>
        <w:t xml:space="preserve"> </w:t>
      </w:r>
      <w:r w:rsidR="00DA0CE6">
        <w:rPr>
          <w:sz w:val="22"/>
          <w:szCs w:val="22"/>
        </w:rPr>
        <w:t>e-commerce e</w:t>
      </w:r>
      <w:r w:rsidR="00444226">
        <w:rPr>
          <w:sz w:val="22"/>
          <w:szCs w:val="22"/>
        </w:rPr>
        <w:t xml:space="preserve"> </w:t>
      </w:r>
      <w:r w:rsidR="00DA0CE6" w:rsidRPr="00444226">
        <w:rPr>
          <w:b/>
          <w:bCs/>
          <w:sz w:val="22"/>
          <w:szCs w:val="22"/>
        </w:rPr>
        <w:t>AI per il monitoraggio</w:t>
      </w:r>
      <w:r>
        <w:rPr>
          <w:b/>
          <w:bCs/>
          <w:sz w:val="22"/>
          <w:szCs w:val="22"/>
        </w:rPr>
        <w:t xml:space="preserve"> </w:t>
      </w:r>
      <w:r w:rsidR="00DA0CE6" w:rsidRPr="00444226">
        <w:rPr>
          <w:b/>
          <w:bCs/>
          <w:sz w:val="22"/>
          <w:szCs w:val="22"/>
        </w:rPr>
        <w:t>supply chain</w:t>
      </w:r>
      <w:r w:rsidR="00DA0CE6">
        <w:rPr>
          <w:sz w:val="22"/>
          <w:szCs w:val="22"/>
        </w:rPr>
        <w:t>, in particolare nella manifattura, insieme all’</w:t>
      </w:r>
      <w:r w:rsidR="00DA0CE6" w:rsidRPr="00444226">
        <w:rPr>
          <w:b/>
          <w:bCs/>
          <w:sz w:val="22"/>
          <w:szCs w:val="22"/>
        </w:rPr>
        <w:t>AI predittiva</w:t>
      </w:r>
      <w:r w:rsidR="00DA0CE6">
        <w:rPr>
          <w:sz w:val="22"/>
          <w:szCs w:val="22"/>
        </w:rPr>
        <w:t>.</w:t>
      </w:r>
    </w:p>
    <w:p w14:paraId="5423646A" w14:textId="25049016" w:rsidR="005A614B" w:rsidRDefault="00444226" w:rsidP="00444226">
      <w:pPr>
        <w:pStyle w:val="Paragrafoelenco"/>
        <w:tabs>
          <w:tab w:val="left" w:pos="9639"/>
        </w:tabs>
        <w:ind w:left="284" w:right="-1"/>
        <w:jc w:val="both"/>
        <w:rPr>
          <w:sz w:val="22"/>
        </w:rPr>
      </w:pPr>
      <w:r>
        <w:rPr>
          <w:sz w:val="22"/>
        </w:rPr>
        <w:t xml:space="preserve">La </w:t>
      </w:r>
      <w:r w:rsidRPr="007C2A85">
        <w:rPr>
          <w:b/>
          <w:bCs/>
          <w:sz w:val="22"/>
        </w:rPr>
        <w:t>sostenibilità ambiental</w:t>
      </w:r>
      <w:r>
        <w:rPr>
          <w:b/>
          <w:bCs/>
          <w:sz w:val="22"/>
        </w:rPr>
        <w:t>e</w:t>
      </w:r>
      <w:r w:rsidRPr="00444226">
        <w:rPr>
          <w:sz w:val="22"/>
        </w:rPr>
        <w:t xml:space="preserve"> </w:t>
      </w:r>
      <w:r w:rsidR="00472595">
        <w:rPr>
          <w:sz w:val="22"/>
        </w:rPr>
        <w:t>è orma</w:t>
      </w:r>
      <w:r w:rsidR="00A54F0C">
        <w:rPr>
          <w:sz w:val="22"/>
        </w:rPr>
        <w:t>i un f</w:t>
      </w:r>
      <w:r w:rsidRPr="00444226">
        <w:rPr>
          <w:sz w:val="22"/>
        </w:rPr>
        <w:t>attor</w:t>
      </w:r>
      <w:r w:rsidR="005A614B">
        <w:rPr>
          <w:sz w:val="22"/>
        </w:rPr>
        <w:t>e strutturale</w:t>
      </w:r>
      <w:r w:rsidR="00250F79">
        <w:rPr>
          <w:sz w:val="22"/>
        </w:rPr>
        <w:t xml:space="preserve"> </w:t>
      </w:r>
      <w:r>
        <w:rPr>
          <w:sz w:val="22"/>
        </w:rPr>
        <w:t>per l’accesso ai mercat</w:t>
      </w:r>
      <w:r w:rsidR="002C33E9">
        <w:rPr>
          <w:sz w:val="22"/>
        </w:rPr>
        <w:t>i e ai capitali. È ritenuta “importante” o “molto importante” dall’80,7% nella manifattur</w:t>
      </w:r>
      <w:r w:rsidR="00AD64EC">
        <w:rPr>
          <w:sz w:val="22"/>
        </w:rPr>
        <w:t>a (64,2% nei servizi)</w:t>
      </w:r>
      <w:r w:rsidR="00CE29FB">
        <w:rPr>
          <w:sz w:val="22"/>
        </w:rPr>
        <w:t>, per</w:t>
      </w:r>
      <w:r w:rsidR="00014004">
        <w:rPr>
          <w:sz w:val="22"/>
        </w:rPr>
        <w:t xml:space="preserve"> realtà </w:t>
      </w:r>
      <w:r w:rsidR="002C33E9">
        <w:rPr>
          <w:sz w:val="22"/>
        </w:rPr>
        <w:t>complesse e più esposte alle catene globali di fornitur</w:t>
      </w:r>
      <w:r w:rsidR="005A614B">
        <w:rPr>
          <w:sz w:val="22"/>
        </w:rPr>
        <w:t>a è un p</w:t>
      </w:r>
      <w:r w:rsidR="002C33E9">
        <w:rPr>
          <w:sz w:val="22"/>
        </w:rPr>
        <w:t>rerequisito competitiv</w:t>
      </w:r>
      <w:r w:rsidR="00AD64EC">
        <w:rPr>
          <w:sz w:val="22"/>
        </w:rPr>
        <w:t>o. L’interesse di clienti e fornitori verso le politiche di sostenibilit</w:t>
      </w:r>
      <w:r w:rsidR="00D73036">
        <w:rPr>
          <w:sz w:val="22"/>
        </w:rPr>
        <w:t>à è in prevalenza stabile (57,4%)</w:t>
      </w:r>
      <w:r w:rsidR="00CE29FB">
        <w:rPr>
          <w:sz w:val="22"/>
        </w:rPr>
        <w:t xml:space="preserve">. </w:t>
      </w:r>
      <w:r w:rsidR="00D73036">
        <w:rPr>
          <w:sz w:val="22"/>
        </w:rPr>
        <w:t>Le richieste da investitori, partner finanziari e sistema creditizio sulle performanc</w:t>
      </w:r>
      <w:r w:rsidR="00014004">
        <w:rPr>
          <w:sz w:val="22"/>
        </w:rPr>
        <w:t xml:space="preserve">e ESG </w:t>
      </w:r>
      <w:r w:rsidR="00BE64E5">
        <w:rPr>
          <w:sz w:val="22"/>
        </w:rPr>
        <w:t>(rating, rendicontazione</w:t>
      </w:r>
      <w:r w:rsidR="00014004">
        <w:rPr>
          <w:sz w:val="22"/>
        </w:rPr>
        <w:t xml:space="preserve">, </w:t>
      </w:r>
      <w:r w:rsidR="00BE64E5">
        <w:rPr>
          <w:sz w:val="22"/>
        </w:rPr>
        <w:t xml:space="preserve">certificazioni) </w:t>
      </w:r>
      <w:r w:rsidR="00D73036">
        <w:rPr>
          <w:sz w:val="22"/>
        </w:rPr>
        <w:t xml:space="preserve">riguardano </w:t>
      </w:r>
      <w:r w:rsidR="00BE64E5">
        <w:rPr>
          <w:sz w:val="22"/>
        </w:rPr>
        <w:t>il 51,3% dell</w:t>
      </w:r>
      <w:r w:rsidR="005A614B">
        <w:rPr>
          <w:sz w:val="22"/>
        </w:rPr>
        <w:t xml:space="preserve">e </w:t>
      </w:r>
      <w:r w:rsidR="00BE64E5">
        <w:rPr>
          <w:sz w:val="22"/>
        </w:rPr>
        <w:t>manifatturiere (44,1% nei servizi), il 68,5%</w:t>
      </w:r>
      <w:r w:rsidR="005A614B">
        <w:rPr>
          <w:sz w:val="22"/>
        </w:rPr>
        <w:t xml:space="preserve"> tra le imprese più grandi.</w:t>
      </w:r>
    </w:p>
    <w:p w14:paraId="0645F7B5" w14:textId="77777777" w:rsidR="00BD0AC1" w:rsidRPr="00BD0AC1" w:rsidRDefault="00BD0AC1" w:rsidP="00BB29B3">
      <w:pPr>
        <w:tabs>
          <w:tab w:val="left" w:pos="9639"/>
        </w:tabs>
        <w:ind w:right="-1"/>
        <w:jc w:val="both"/>
        <w:rPr>
          <w:b/>
          <w:sz w:val="22"/>
          <w:szCs w:val="22"/>
          <w:lang w:val="en-GB"/>
        </w:rPr>
      </w:pPr>
      <w:bookmarkStart w:id="3" w:name="_Hlk157465689"/>
    </w:p>
    <w:p w14:paraId="53401260" w14:textId="03EB2737" w:rsidR="00FD1C38" w:rsidRPr="00A53763" w:rsidRDefault="00FD1C38" w:rsidP="00FD1C38">
      <w:pPr>
        <w:pStyle w:val="NormaleWeb"/>
        <w:tabs>
          <w:tab w:val="left" w:pos="9072"/>
        </w:tabs>
        <w:overflowPunct w:val="0"/>
        <w:spacing w:after="120"/>
        <w:jc w:val="both"/>
        <w:textAlignment w:val="baseline"/>
        <w:rPr>
          <w:b/>
        </w:rPr>
      </w:pPr>
      <w:r>
        <w:rPr>
          <w:b/>
          <w:bCs/>
          <w:color w:val="002060"/>
        </w:rPr>
        <w:t xml:space="preserve">Le aziende </w:t>
      </w:r>
      <w:proofErr w:type="spellStart"/>
      <w:r>
        <w:rPr>
          <w:b/>
          <w:bCs/>
          <w:color w:val="002060"/>
        </w:rPr>
        <w:t>Exporter</w:t>
      </w:r>
      <w:proofErr w:type="spellEnd"/>
      <w:r>
        <w:rPr>
          <w:b/>
          <w:bCs/>
          <w:color w:val="002060"/>
        </w:rPr>
        <w:t xml:space="preserve"> of the </w:t>
      </w:r>
      <w:proofErr w:type="spellStart"/>
      <w:r>
        <w:rPr>
          <w:b/>
          <w:bCs/>
          <w:color w:val="002060"/>
        </w:rPr>
        <w:t>Year</w:t>
      </w:r>
      <w:proofErr w:type="spellEnd"/>
      <w:r>
        <w:rPr>
          <w:b/>
          <w:bCs/>
          <w:color w:val="002060"/>
        </w:rPr>
        <w:t xml:space="preserve"> 2025</w:t>
      </w:r>
    </w:p>
    <w:bookmarkEnd w:id="3"/>
    <w:p w14:paraId="275D428E" w14:textId="21F75761" w:rsidR="003703B2" w:rsidRPr="007C6100" w:rsidRDefault="003703B2" w:rsidP="003703B2">
      <w:pPr>
        <w:tabs>
          <w:tab w:val="left" w:pos="9072"/>
        </w:tabs>
        <w:ind w:right="-1"/>
        <w:jc w:val="both"/>
        <w:rPr>
          <w:i/>
          <w:iCs/>
          <w:sz w:val="20"/>
          <w:szCs w:val="20"/>
        </w:rPr>
      </w:pPr>
      <w:r w:rsidRPr="003703B2">
        <w:rPr>
          <w:b/>
          <w:bCs/>
          <w:i/>
          <w:iCs/>
          <w:sz w:val="20"/>
          <w:szCs w:val="20"/>
        </w:rPr>
        <w:t>Categoria Grandi Imprese - PAL S.r.l.</w:t>
      </w:r>
      <w:r w:rsidR="0085676D" w:rsidRPr="0085676D">
        <w:rPr>
          <w:i/>
          <w:iCs/>
          <w:sz w:val="20"/>
          <w:szCs w:val="20"/>
        </w:rPr>
        <w:t xml:space="preserve"> con sede a Ponte di Piave (TV)</w:t>
      </w:r>
      <w:r w:rsidR="0085676D">
        <w:rPr>
          <w:i/>
          <w:iCs/>
          <w:sz w:val="20"/>
          <w:szCs w:val="20"/>
        </w:rPr>
        <w:t xml:space="preserve">, </w:t>
      </w:r>
      <w:r w:rsidRPr="003703B2">
        <w:rPr>
          <w:i/>
          <w:iCs/>
          <w:sz w:val="20"/>
          <w:szCs w:val="20"/>
        </w:rPr>
        <w:t>è un’azienda</w:t>
      </w:r>
      <w:r w:rsidR="0085676D">
        <w:rPr>
          <w:i/>
          <w:iCs/>
          <w:sz w:val="20"/>
          <w:szCs w:val="20"/>
        </w:rPr>
        <w:t xml:space="preserve"> </w:t>
      </w:r>
      <w:r w:rsidRPr="003703B2">
        <w:rPr>
          <w:i/>
          <w:iCs/>
          <w:sz w:val="20"/>
          <w:szCs w:val="20"/>
        </w:rPr>
        <w:t>fondata nel 1978, specializzata nella</w:t>
      </w:r>
      <w:r w:rsidR="0085676D">
        <w:rPr>
          <w:i/>
          <w:iCs/>
          <w:sz w:val="20"/>
          <w:szCs w:val="20"/>
        </w:rPr>
        <w:t xml:space="preserve"> </w:t>
      </w:r>
      <w:r w:rsidRPr="003703B2">
        <w:rPr>
          <w:i/>
          <w:iCs/>
          <w:sz w:val="20"/>
          <w:szCs w:val="20"/>
        </w:rPr>
        <w:t>progettazione, produzione e fornitura di macchine e impianti completi per la prima lavorazione del legno. Parte del gruppo IMALPAL,</w:t>
      </w:r>
      <w:r w:rsidR="006B4405">
        <w:rPr>
          <w:i/>
          <w:iCs/>
          <w:sz w:val="20"/>
          <w:szCs w:val="20"/>
        </w:rPr>
        <w:t xml:space="preserve"> </w:t>
      </w:r>
      <w:r w:rsidRPr="003703B2">
        <w:rPr>
          <w:i/>
          <w:iCs/>
          <w:sz w:val="20"/>
          <w:szCs w:val="20"/>
        </w:rPr>
        <w:t>opera a livello globale offrendo soluzioni chiavi in mano per pannelli a base di legno, riciclo del legno, biomassa, pellet e trattamento dei rifiuti. Grazie a una forte integrazione tra ufficio tecnico, produzione interna e ricerca e sviluppo,</w:t>
      </w:r>
      <w:r w:rsidR="006B4405">
        <w:rPr>
          <w:i/>
          <w:iCs/>
          <w:sz w:val="20"/>
          <w:szCs w:val="20"/>
        </w:rPr>
        <w:t xml:space="preserve"> </w:t>
      </w:r>
      <w:r w:rsidRPr="003703B2">
        <w:rPr>
          <w:i/>
          <w:iCs/>
          <w:sz w:val="20"/>
          <w:szCs w:val="20"/>
        </w:rPr>
        <w:t>PAL</w:t>
      </w:r>
      <w:r w:rsidR="006B4405">
        <w:rPr>
          <w:i/>
          <w:iCs/>
          <w:sz w:val="20"/>
          <w:szCs w:val="20"/>
        </w:rPr>
        <w:t xml:space="preserve"> </w:t>
      </w:r>
      <w:r w:rsidRPr="003703B2">
        <w:rPr>
          <w:i/>
          <w:iCs/>
          <w:sz w:val="20"/>
          <w:szCs w:val="20"/>
        </w:rPr>
        <w:t xml:space="preserve">realizza impianti altamente efficienti, affidabili e su misura. Competenza ingegneristica, </w:t>
      </w:r>
      <w:r w:rsidRPr="007C6100">
        <w:rPr>
          <w:i/>
          <w:iCs/>
          <w:sz w:val="20"/>
          <w:szCs w:val="20"/>
        </w:rPr>
        <w:t>innovazione tecnologica e orientamento al client</w:t>
      </w:r>
      <w:r w:rsidR="006B4405">
        <w:rPr>
          <w:i/>
          <w:iCs/>
          <w:sz w:val="20"/>
          <w:szCs w:val="20"/>
        </w:rPr>
        <w:t xml:space="preserve">e la </w:t>
      </w:r>
      <w:r w:rsidRPr="007C6100">
        <w:rPr>
          <w:i/>
          <w:iCs/>
          <w:sz w:val="20"/>
          <w:szCs w:val="20"/>
        </w:rPr>
        <w:t>rendono</w:t>
      </w:r>
      <w:r w:rsidR="006B4405"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 xml:space="preserve">un partner di riferimento per l’industria del legno e del riciclo. </w:t>
      </w:r>
      <w:hyperlink r:id="rId7" w:history="1">
        <w:r w:rsidRPr="007C6100">
          <w:rPr>
            <w:rStyle w:val="Collegamentoipertestuale"/>
            <w:i/>
            <w:iCs/>
            <w:sz w:val="20"/>
            <w:szCs w:val="20"/>
          </w:rPr>
          <w:t>www.imalpal.com/it</w:t>
        </w:r>
      </w:hyperlink>
    </w:p>
    <w:p w14:paraId="4D53193F" w14:textId="77777777" w:rsidR="00694F71" w:rsidRPr="00097C5A" w:rsidRDefault="00694F71" w:rsidP="00DF4C9B">
      <w:pPr>
        <w:tabs>
          <w:tab w:val="left" w:pos="9639"/>
        </w:tabs>
        <w:ind w:right="-1"/>
        <w:jc w:val="both"/>
        <w:rPr>
          <w:bCs/>
          <w:sz w:val="20"/>
          <w:szCs w:val="20"/>
        </w:rPr>
      </w:pPr>
    </w:p>
    <w:bookmarkEnd w:id="2"/>
    <w:p w14:paraId="1E405D40" w14:textId="71AC9A79" w:rsidR="007C6100" w:rsidRPr="006B4405" w:rsidRDefault="007C6100" w:rsidP="007C6100">
      <w:pPr>
        <w:tabs>
          <w:tab w:val="left" w:pos="9072"/>
        </w:tabs>
        <w:ind w:right="-1"/>
        <w:jc w:val="both"/>
        <w:rPr>
          <w:bCs/>
          <w:i/>
          <w:iCs/>
          <w:sz w:val="20"/>
          <w:szCs w:val="20"/>
        </w:rPr>
      </w:pPr>
      <w:r w:rsidRPr="007C6100">
        <w:rPr>
          <w:b/>
          <w:bCs/>
          <w:i/>
          <w:iCs/>
          <w:sz w:val="20"/>
          <w:szCs w:val="20"/>
        </w:rPr>
        <w:t xml:space="preserve">Categoria Piccole e Medie Imprese - </w:t>
      </w:r>
      <w:proofErr w:type="spellStart"/>
      <w:r w:rsidRPr="007C6100">
        <w:rPr>
          <w:b/>
          <w:bCs/>
          <w:i/>
          <w:iCs/>
          <w:sz w:val="20"/>
          <w:szCs w:val="20"/>
        </w:rPr>
        <w:t>Parchettificio</w:t>
      </w:r>
      <w:proofErr w:type="spellEnd"/>
      <w:r w:rsidRPr="007C6100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7C6100">
        <w:rPr>
          <w:b/>
          <w:bCs/>
          <w:i/>
          <w:iCs/>
          <w:sz w:val="20"/>
          <w:szCs w:val="20"/>
        </w:rPr>
        <w:t>Garbelotto</w:t>
      </w:r>
      <w:proofErr w:type="spellEnd"/>
      <w:r w:rsidR="0085676D">
        <w:rPr>
          <w:b/>
          <w:bCs/>
          <w:i/>
          <w:iCs/>
          <w:sz w:val="20"/>
          <w:szCs w:val="20"/>
        </w:rPr>
        <w:t xml:space="preserve"> Srl</w:t>
      </w:r>
      <w:r w:rsidR="0085676D" w:rsidRPr="0085676D">
        <w:rPr>
          <w:i/>
          <w:iCs/>
          <w:sz w:val="20"/>
          <w:szCs w:val="20"/>
        </w:rPr>
        <w:t xml:space="preserve"> con sede a Cappella Maggiore (TV),</w:t>
      </w:r>
      <w:r w:rsidR="0085676D">
        <w:rPr>
          <w:b/>
          <w:bCs/>
          <w:i/>
          <w:iCs/>
          <w:sz w:val="20"/>
          <w:szCs w:val="20"/>
        </w:rPr>
        <w:t xml:space="preserve"> </w:t>
      </w:r>
      <w:r w:rsidRPr="007C6100">
        <w:rPr>
          <w:bCs/>
          <w:i/>
          <w:iCs/>
          <w:sz w:val="20"/>
          <w:szCs w:val="20"/>
        </w:rPr>
        <w:t>è un’eccellenza del Made in Italy con oltre 70 anni di storia, espressione dell’amore per il legno e di un saper fare tramandato da 4 genera</w:t>
      </w:r>
      <w:r w:rsidR="006B4405">
        <w:rPr>
          <w:bCs/>
          <w:i/>
          <w:iCs/>
          <w:sz w:val="20"/>
          <w:szCs w:val="20"/>
        </w:rPr>
        <w:t xml:space="preserve">zioni. </w:t>
      </w:r>
      <w:r w:rsidRPr="007C6100">
        <w:rPr>
          <w:bCs/>
          <w:i/>
          <w:iCs/>
          <w:sz w:val="20"/>
          <w:szCs w:val="20"/>
        </w:rPr>
        <w:t>Oggi</w:t>
      </w:r>
      <w:r w:rsidR="006E112F">
        <w:rPr>
          <w:bCs/>
          <w:i/>
          <w:iCs/>
          <w:sz w:val="20"/>
          <w:szCs w:val="20"/>
        </w:rPr>
        <w:t xml:space="preserve"> </w:t>
      </w:r>
      <w:r w:rsidRPr="007C6100">
        <w:rPr>
          <w:bCs/>
          <w:i/>
          <w:iCs/>
          <w:sz w:val="20"/>
          <w:szCs w:val="20"/>
        </w:rPr>
        <w:t>è guidata da Antonio Garbelotto, insieme alla moglie Renza e al figlio Marco, con una visione che unisce industria e cultura artigianale. Attenta alla sostenibilità,</w:t>
      </w:r>
      <w:r w:rsidR="006B4405">
        <w:rPr>
          <w:bCs/>
          <w:i/>
          <w:iCs/>
          <w:sz w:val="20"/>
          <w:szCs w:val="20"/>
        </w:rPr>
        <w:t xml:space="preserve"> </w:t>
      </w:r>
      <w:r w:rsidRPr="007C6100">
        <w:rPr>
          <w:bCs/>
          <w:i/>
          <w:iCs/>
          <w:sz w:val="20"/>
          <w:szCs w:val="20"/>
        </w:rPr>
        <w:t>è l’unic</w:t>
      </w:r>
      <w:r w:rsidR="006E112F">
        <w:rPr>
          <w:bCs/>
          <w:i/>
          <w:iCs/>
          <w:sz w:val="20"/>
          <w:szCs w:val="20"/>
        </w:rPr>
        <w:t xml:space="preserve">a </w:t>
      </w:r>
      <w:r w:rsidRPr="007C6100">
        <w:rPr>
          <w:bCs/>
          <w:i/>
          <w:iCs/>
          <w:sz w:val="20"/>
          <w:szCs w:val="20"/>
        </w:rPr>
        <w:t>del settore a possedere la certificazione EPD. I suoi prodotti sono molto apprezzati all’estero per l’autenticità del Made in Italy e</w:t>
      </w:r>
      <w:r w:rsidR="006E112F">
        <w:rPr>
          <w:bCs/>
          <w:i/>
          <w:iCs/>
          <w:sz w:val="20"/>
          <w:szCs w:val="20"/>
        </w:rPr>
        <w:t xml:space="preserve"> </w:t>
      </w:r>
      <w:r w:rsidRPr="007C6100">
        <w:rPr>
          <w:bCs/>
          <w:i/>
          <w:iCs/>
          <w:sz w:val="20"/>
          <w:szCs w:val="20"/>
        </w:rPr>
        <w:t>presenti in tutto il mondo in progetti di prestigio. Vant</w:t>
      </w:r>
      <w:r w:rsidR="006E112F">
        <w:rPr>
          <w:bCs/>
          <w:i/>
          <w:iCs/>
          <w:sz w:val="20"/>
          <w:szCs w:val="20"/>
        </w:rPr>
        <w:t xml:space="preserve">a infatti </w:t>
      </w:r>
      <w:r w:rsidRPr="007C6100">
        <w:rPr>
          <w:bCs/>
          <w:i/>
          <w:iCs/>
          <w:sz w:val="20"/>
          <w:szCs w:val="20"/>
        </w:rPr>
        <w:t xml:space="preserve">collaborazioni con importanti </w:t>
      </w:r>
      <w:proofErr w:type="gramStart"/>
      <w:r w:rsidRPr="007C6100">
        <w:rPr>
          <w:bCs/>
          <w:i/>
          <w:iCs/>
          <w:sz w:val="20"/>
          <w:szCs w:val="20"/>
        </w:rPr>
        <w:t>brand</w:t>
      </w:r>
      <w:proofErr w:type="gramEnd"/>
      <w:r w:rsidRPr="007C6100">
        <w:rPr>
          <w:bCs/>
          <w:i/>
          <w:iCs/>
          <w:sz w:val="20"/>
          <w:szCs w:val="20"/>
        </w:rPr>
        <w:t xml:space="preserve"> internazionali, archistar e studi di architettur</w:t>
      </w:r>
      <w:r w:rsidR="006B4405">
        <w:rPr>
          <w:bCs/>
          <w:i/>
          <w:iCs/>
          <w:sz w:val="20"/>
          <w:szCs w:val="20"/>
        </w:rPr>
        <w:t xml:space="preserve">a. Ha </w:t>
      </w:r>
      <w:r w:rsidRPr="007C6100">
        <w:rPr>
          <w:bCs/>
          <w:i/>
          <w:iCs/>
          <w:sz w:val="20"/>
          <w:szCs w:val="20"/>
        </w:rPr>
        <w:t xml:space="preserve">recentemente inaugurato </w:t>
      </w:r>
      <w:proofErr w:type="spellStart"/>
      <w:r w:rsidRPr="007C6100">
        <w:rPr>
          <w:bCs/>
          <w:i/>
          <w:iCs/>
          <w:sz w:val="20"/>
          <w:szCs w:val="20"/>
        </w:rPr>
        <w:t>Garbelotto</w:t>
      </w:r>
      <w:proofErr w:type="spellEnd"/>
      <w:r w:rsidRPr="007C6100">
        <w:rPr>
          <w:bCs/>
          <w:i/>
          <w:iCs/>
          <w:sz w:val="20"/>
          <w:szCs w:val="20"/>
        </w:rPr>
        <w:t xml:space="preserve"> Studio Milano,</w:t>
      </w:r>
      <w:r w:rsidR="006E112F">
        <w:rPr>
          <w:bCs/>
          <w:i/>
          <w:iCs/>
          <w:sz w:val="20"/>
          <w:szCs w:val="20"/>
        </w:rPr>
        <w:t xml:space="preserve"> </w:t>
      </w:r>
      <w:r w:rsidRPr="007C6100">
        <w:rPr>
          <w:bCs/>
          <w:i/>
          <w:iCs/>
          <w:sz w:val="20"/>
          <w:szCs w:val="20"/>
        </w:rPr>
        <w:t>dedicato al progetto e alla condivi</w:t>
      </w:r>
      <w:r w:rsidR="006E112F">
        <w:rPr>
          <w:bCs/>
          <w:i/>
          <w:iCs/>
          <w:sz w:val="20"/>
          <w:szCs w:val="20"/>
        </w:rPr>
        <w:t xml:space="preserve">sione nella </w:t>
      </w:r>
      <w:r w:rsidRPr="007C6100">
        <w:rPr>
          <w:bCs/>
          <w:i/>
          <w:iCs/>
          <w:sz w:val="20"/>
          <w:szCs w:val="20"/>
        </w:rPr>
        <w:t>capitale del design. Tra le innovazioni spicca Clip Up System®</w:t>
      </w:r>
      <w:r w:rsidR="00261356">
        <w:rPr>
          <w:bCs/>
          <w:i/>
          <w:iCs/>
          <w:sz w:val="20"/>
          <w:szCs w:val="20"/>
        </w:rPr>
        <w:t xml:space="preserve">, sistema di posa brevettato auto-posante senza colla. </w:t>
      </w:r>
      <w:hyperlink r:id="rId8" w:history="1">
        <w:r w:rsidRPr="006B4405">
          <w:rPr>
            <w:rStyle w:val="Collegamentoipertestuale"/>
            <w:bCs/>
            <w:i/>
            <w:iCs/>
            <w:sz w:val="20"/>
            <w:szCs w:val="20"/>
          </w:rPr>
          <w:t>www.garbelotto.it</w:t>
        </w:r>
      </w:hyperlink>
    </w:p>
    <w:p w14:paraId="0678CC5B" w14:textId="77777777" w:rsidR="00261356" w:rsidRPr="00261356" w:rsidRDefault="00261356" w:rsidP="007C6100">
      <w:pPr>
        <w:tabs>
          <w:tab w:val="left" w:pos="9072"/>
        </w:tabs>
        <w:ind w:right="-1"/>
        <w:jc w:val="both"/>
        <w:rPr>
          <w:b/>
          <w:bCs/>
          <w:sz w:val="20"/>
          <w:szCs w:val="20"/>
        </w:rPr>
      </w:pPr>
    </w:p>
    <w:p w14:paraId="4D8897DC" w14:textId="1C9E7846" w:rsidR="007C6100" w:rsidRPr="007C6100" w:rsidRDefault="007C6100" w:rsidP="007C6100">
      <w:pPr>
        <w:tabs>
          <w:tab w:val="left" w:pos="9072"/>
        </w:tabs>
        <w:ind w:right="-1"/>
        <w:jc w:val="both"/>
        <w:rPr>
          <w:i/>
          <w:iCs/>
          <w:sz w:val="20"/>
          <w:szCs w:val="20"/>
        </w:rPr>
      </w:pPr>
      <w:r w:rsidRPr="006B4405">
        <w:rPr>
          <w:b/>
          <w:bCs/>
          <w:i/>
          <w:iCs/>
          <w:sz w:val="20"/>
          <w:szCs w:val="20"/>
        </w:rPr>
        <w:t>Categoria Imprese “</w:t>
      </w:r>
      <w:proofErr w:type="spellStart"/>
      <w:r w:rsidRPr="006B4405">
        <w:rPr>
          <w:b/>
          <w:bCs/>
          <w:i/>
          <w:iCs/>
          <w:sz w:val="20"/>
          <w:szCs w:val="20"/>
        </w:rPr>
        <w:t>Beginners</w:t>
      </w:r>
      <w:proofErr w:type="spellEnd"/>
      <w:r w:rsidRPr="006B4405">
        <w:rPr>
          <w:b/>
          <w:bCs/>
          <w:i/>
          <w:iCs/>
          <w:sz w:val="20"/>
          <w:szCs w:val="20"/>
        </w:rPr>
        <w:t>” - Ambiente 1985 Srl</w:t>
      </w:r>
      <w:r w:rsidR="0085676D" w:rsidRPr="006B4405">
        <w:rPr>
          <w:i/>
          <w:iCs/>
          <w:sz w:val="20"/>
          <w:szCs w:val="20"/>
        </w:rPr>
        <w:t xml:space="preserve"> con sede a Saonara (PD), </w:t>
      </w:r>
      <w:r w:rsidRPr="006B4405">
        <w:rPr>
          <w:i/>
          <w:iCs/>
          <w:sz w:val="20"/>
          <w:szCs w:val="20"/>
        </w:rPr>
        <w:t>è un’azienda</w:t>
      </w:r>
      <w:r w:rsidR="006B4405" w:rsidRPr="006B4405">
        <w:rPr>
          <w:i/>
          <w:iCs/>
          <w:sz w:val="20"/>
          <w:szCs w:val="20"/>
        </w:rPr>
        <w:t xml:space="preserve"> </w:t>
      </w:r>
      <w:r w:rsidRPr="006B4405">
        <w:rPr>
          <w:i/>
          <w:iCs/>
          <w:sz w:val="20"/>
          <w:szCs w:val="20"/>
        </w:rPr>
        <w:t xml:space="preserve">con più di 40 anni di esperienza nel settore del </w:t>
      </w:r>
      <w:proofErr w:type="spellStart"/>
      <w:r w:rsidRPr="006B4405">
        <w:rPr>
          <w:i/>
          <w:iCs/>
          <w:sz w:val="20"/>
          <w:szCs w:val="20"/>
        </w:rPr>
        <w:t>contract</w:t>
      </w:r>
      <w:proofErr w:type="spellEnd"/>
      <w:r w:rsidRPr="006B4405">
        <w:rPr>
          <w:i/>
          <w:iCs/>
          <w:sz w:val="20"/>
          <w:szCs w:val="20"/>
        </w:rPr>
        <w:t xml:space="preserve"> per uffici e spazi residenziali. Nel tempo ha consolidato un approccio che integra </w:t>
      </w:r>
      <w:r w:rsidRPr="007C6100">
        <w:rPr>
          <w:i/>
          <w:iCs/>
          <w:sz w:val="20"/>
          <w:szCs w:val="20"/>
        </w:rPr>
        <w:lastRenderedPageBreak/>
        <w:t xml:space="preserve">progettazione, competenze tecniche e gestione operativa, offrendo soluzioni su misura e interventi chiavi in mano. All’interno dell’azienda da </w:t>
      </w:r>
      <w:proofErr w:type="gramStart"/>
      <w:r w:rsidRPr="007C6100">
        <w:rPr>
          <w:i/>
          <w:iCs/>
          <w:sz w:val="20"/>
          <w:szCs w:val="20"/>
        </w:rPr>
        <w:t>6</w:t>
      </w:r>
      <w:proofErr w:type="gramEnd"/>
      <w:r w:rsidRPr="007C6100">
        <w:rPr>
          <w:i/>
          <w:iCs/>
          <w:sz w:val="20"/>
          <w:szCs w:val="20"/>
        </w:rPr>
        <w:t xml:space="preserve"> anni opera </w:t>
      </w:r>
      <w:proofErr w:type="spellStart"/>
      <w:r w:rsidRPr="007C6100">
        <w:rPr>
          <w:i/>
          <w:iCs/>
          <w:sz w:val="20"/>
          <w:szCs w:val="20"/>
        </w:rPr>
        <w:t>LvB</w:t>
      </w:r>
      <w:proofErr w:type="spellEnd"/>
      <w:r w:rsidRPr="007C6100">
        <w:rPr>
          <w:i/>
          <w:iCs/>
          <w:sz w:val="20"/>
          <w:szCs w:val="20"/>
        </w:rPr>
        <w:t xml:space="preserve"> Italia, brand dedicato alla fonoassorbenza che produce pannelli Made in Italy e progetta soluzioni</w:t>
      </w:r>
      <w:r w:rsidR="0085676D"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 xml:space="preserve">per migliorare il benessere acustico delle persone. Presente nel territorio nazionale ed europeo, combina design e ricerca per ambienti di lavoro, </w:t>
      </w:r>
      <w:proofErr w:type="spellStart"/>
      <w:r w:rsidRPr="007C6100">
        <w:rPr>
          <w:i/>
          <w:iCs/>
          <w:sz w:val="20"/>
          <w:szCs w:val="20"/>
        </w:rPr>
        <w:t>hospitality</w:t>
      </w:r>
      <w:proofErr w:type="spellEnd"/>
      <w:r w:rsidRPr="007C6100">
        <w:rPr>
          <w:i/>
          <w:iCs/>
          <w:sz w:val="20"/>
          <w:szCs w:val="20"/>
        </w:rPr>
        <w:t xml:space="preserve"> e spazi collettivi contemporanei. </w:t>
      </w:r>
      <w:hyperlink r:id="rId9" w:history="1">
        <w:r w:rsidRPr="007C6100">
          <w:rPr>
            <w:rStyle w:val="Collegamentoipertestuale"/>
            <w:i/>
            <w:iCs/>
            <w:sz w:val="20"/>
            <w:szCs w:val="20"/>
          </w:rPr>
          <w:t>www.ambiente1985.it</w:t>
        </w:r>
      </w:hyperlink>
    </w:p>
    <w:p w14:paraId="7AC9F52A" w14:textId="77777777" w:rsidR="007C6100" w:rsidRPr="00261356" w:rsidRDefault="007C6100" w:rsidP="007C6100">
      <w:pPr>
        <w:tabs>
          <w:tab w:val="left" w:pos="9072"/>
        </w:tabs>
        <w:ind w:right="-1"/>
        <w:jc w:val="both"/>
        <w:rPr>
          <w:b/>
          <w:bCs/>
          <w:sz w:val="20"/>
          <w:szCs w:val="20"/>
        </w:rPr>
      </w:pPr>
    </w:p>
    <w:p w14:paraId="06FD0581" w14:textId="76389FAC" w:rsidR="007C6100" w:rsidRPr="007C6100" w:rsidRDefault="007C6100" w:rsidP="007C6100">
      <w:pPr>
        <w:tabs>
          <w:tab w:val="left" w:pos="9072"/>
        </w:tabs>
        <w:ind w:right="-1"/>
        <w:jc w:val="both"/>
        <w:rPr>
          <w:i/>
          <w:iCs/>
          <w:sz w:val="20"/>
          <w:szCs w:val="20"/>
        </w:rPr>
      </w:pPr>
      <w:r w:rsidRPr="007C6100">
        <w:rPr>
          <w:b/>
          <w:bCs/>
          <w:i/>
          <w:iCs/>
          <w:sz w:val="20"/>
          <w:szCs w:val="20"/>
        </w:rPr>
        <w:t>Categoria S</w:t>
      </w:r>
      <w:r w:rsidR="006B4405">
        <w:rPr>
          <w:b/>
          <w:bCs/>
          <w:i/>
          <w:iCs/>
          <w:sz w:val="20"/>
          <w:szCs w:val="20"/>
        </w:rPr>
        <w:t>ervizi - Orion Srl</w:t>
      </w:r>
      <w:r w:rsidR="006B4405" w:rsidRPr="006B4405">
        <w:rPr>
          <w:i/>
          <w:iCs/>
          <w:sz w:val="20"/>
          <w:szCs w:val="20"/>
        </w:rPr>
        <w:t xml:space="preserve"> con sede a Veggiano (PD, </w:t>
      </w:r>
      <w:r w:rsidRPr="007C6100">
        <w:rPr>
          <w:i/>
          <w:iCs/>
          <w:sz w:val="20"/>
          <w:szCs w:val="20"/>
        </w:rPr>
        <w:t>è</w:t>
      </w:r>
      <w:r w:rsidR="006E112F"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attiva dal 1988 nel settore del</w:t>
      </w:r>
      <w:r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monitoraggio ambientale e dell’automazione industriale.</w:t>
      </w:r>
      <w:r w:rsidR="00A76BF3">
        <w:rPr>
          <w:i/>
          <w:iCs/>
          <w:sz w:val="20"/>
          <w:szCs w:val="20"/>
        </w:rPr>
        <w:t xml:space="preserve"> Nata </w:t>
      </w:r>
      <w:r w:rsidRPr="007C6100">
        <w:rPr>
          <w:i/>
          <w:iCs/>
          <w:sz w:val="20"/>
          <w:szCs w:val="20"/>
        </w:rPr>
        <w:t>come</w:t>
      </w:r>
      <w:r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 xml:space="preserve">realtà specializzata, </w:t>
      </w:r>
      <w:r w:rsidR="00A76BF3">
        <w:rPr>
          <w:i/>
          <w:iCs/>
          <w:sz w:val="20"/>
          <w:szCs w:val="20"/>
        </w:rPr>
        <w:t xml:space="preserve">è diventata nel tempo un </w:t>
      </w:r>
      <w:r w:rsidRPr="007C6100">
        <w:rPr>
          <w:i/>
          <w:iCs/>
          <w:sz w:val="20"/>
          <w:szCs w:val="20"/>
        </w:rPr>
        <w:t>riferimento a livello nazionale e internazionale, grazie a competenze</w:t>
      </w:r>
      <w:r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tecniche avanzate e a una profonda conoscenza del settor</w:t>
      </w:r>
      <w:r w:rsidR="006E112F">
        <w:rPr>
          <w:i/>
          <w:iCs/>
          <w:sz w:val="20"/>
          <w:szCs w:val="20"/>
        </w:rPr>
        <w:t xml:space="preserve">e. Si </w:t>
      </w:r>
      <w:r w:rsidRPr="007C6100">
        <w:rPr>
          <w:i/>
          <w:iCs/>
          <w:sz w:val="20"/>
          <w:szCs w:val="20"/>
        </w:rPr>
        <w:t>occupa della fornitura e integrazione di sistemi per il monitoraggio</w:t>
      </w:r>
      <w:r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della qualità dell’aria e degli odori, delle acque e</w:t>
      </w:r>
      <w:r w:rsidR="00A76BF3">
        <w:rPr>
          <w:i/>
          <w:iCs/>
          <w:sz w:val="20"/>
          <w:szCs w:val="20"/>
        </w:rPr>
        <w:t xml:space="preserve">d </w:t>
      </w:r>
      <w:r w:rsidRPr="007C6100">
        <w:rPr>
          <w:i/>
          <w:iCs/>
          <w:sz w:val="20"/>
          <w:szCs w:val="20"/>
        </w:rPr>
        <w:t>emissioni</w:t>
      </w:r>
      <w:r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industriali, garantendo soluzioni affidabili, conformi alle normative</w:t>
      </w:r>
      <w:r w:rsidR="00A76BF3"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e orientate alla qualità del dato. L’offerta è completata da servizi</w:t>
      </w:r>
      <w:r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elettro-strumentali per l’industria, finalizzati a supportare</w:t>
      </w:r>
      <w:r w:rsidR="00A76BF3"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continuità</w:t>
      </w:r>
      <w:r w:rsidR="006B4405"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operativa e</w:t>
      </w:r>
      <w:r w:rsidR="00A76BF3">
        <w:rPr>
          <w:i/>
          <w:iCs/>
          <w:sz w:val="20"/>
          <w:szCs w:val="20"/>
        </w:rPr>
        <w:t xml:space="preserve">d </w:t>
      </w:r>
      <w:r w:rsidRPr="007C6100">
        <w:rPr>
          <w:i/>
          <w:iCs/>
          <w:sz w:val="20"/>
          <w:szCs w:val="20"/>
        </w:rPr>
        <w:t>efficienza degli impianti. Dal 2024</w:t>
      </w:r>
      <w:r w:rsidR="006E112F"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fa parte di un</w:t>
      </w:r>
      <w:r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gruppo di sette aziende che operano</w:t>
      </w:r>
      <w:r w:rsidR="00323BFE"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nell’ingegneria</w:t>
      </w:r>
      <w:r>
        <w:rPr>
          <w:i/>
          <w:iCs/>
          <w:sz w:val="20"/>
          <w:szCs w:val="20"/>
        </w:rPr>
        <w:t xml:space="preserve"> </w:t>
      </w:r>
      <w:r w:rsidRPr="007C6100">
        <w:rPr>
          <w:i/>
          <w:iCs/>
          <w:sz w:val="20"/>
          <w:szCs w:val="20"/>
        </w:rPr>
        <w:t>ambientale, nel ciclo idrico e nell’energia,</w:t>
      </w:r>
      <w:r w:rsidR="00A76BF3">
        <w:rPr>
          <w:i/>
          <w:iCs/>
          <w:sz w:val="20"/>
          <w:szCs w:val="20"/>
        </w:rPr>
        <w:t xml:space="preserve"> offrendo </w:t>
      </w:r>
      <w:r w:rsidRPr="007C6100">
        <w:rPr>
          <w:i/>
          <w:iCs/>
          <w:sz w:val="20"/>
          <w:szCs w:val="20"/>
        </w:rPr>
        <w:t>soluzioni integrate</w:t>
      </w:r>
      <w:r w:rsidR="00A76BF3">
        <w:rPr>
          <w:i/>
          <w:iCs/>
          <w:sz w:val="20"/>
          <w:szCs w:val="20"/>
        </w:rPr>
        <w:t xml:space="preserve"> per la </w:t>
      </w:r>
      <w:r w:rsidRPr="007C6100">
        <w:rPr>
          <w:i/>
          <w:iCs/>
          <w:sz w:val="20"/>
          <w:szCs w:val="20"/>
        </w:rPr>
        <w:t>sostenibilità e</w:t>
      </w:r>
      <w:r w:rsidR="00A76BF3">
        <w:rPr>
          <w:i/>
          <w:iCs/>
          <w:sz w:val="20"/>
          <w:szCs w:val="20"/>
        </w:rPr>
        <w:t xml:space="preserve"> la </w:t>
      </w:r>
      <w:r w:rsidRPr="007C6100">
        <w:rPr>
          <w:i/>
          <w:iCs/>
          <w:sz w:val="20"/>
          <w:szCs w:val="20"/>
        </w:rPr>
        <w:t xml:space="preserve">gestione responsabile delle risorse. </w:t>
      </w:r>
      <w:hyperlink r:id="rId10" w:history="1">
        <w:r w:rsidRPr="007C6100">
          <w:rPr>
            <w:rStyle w:val="Collegamentoipertestuale"/>
            <w:i/>
            <w:iCs/>
            <w:sz w:val="20"/>
            <w:szCs w:val="20"/>
          </w:rPr>
          <w:t>www.orion-srl.it</w:t>
        </w:r>
      </w:hyperlink>
    </w:p>
    <w:p w14:paraId="3804A9C1" w14:textId="77777777" w:rsidR="006B4405" w:rsidRDefault="006B4405" w:rsidP="00DF4C9B">
      <w:pPr>
        <w:tabs>
          <w:tab w:val="left" w:pos="9072"/>
        </w:tabs>
        <w:ind w:right="-1"/>
        <w:jc w:val="both"/>
        <w:rPr>
          <w:bCs/>
          <w:sz w:val="22"/>
          <w:szCs w:val="22"/>
        </w:rPr>
      </w:pPr>
    </w:p>
    <w:p w14:paraId="353714AF" w14:textId="12A6C7B0" w:rsidR="003A0DF1" w:rsidRDefault="003A0DF1" w:rsidP="00DF4C9B">
      <w:pPr>
        <w:tabs>
          <w:tab w:val="left" w:pos="9072"/>
        </w:tabs>
        <w:ind w:right="-1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_______________</w:t>
      </w:r>
    </w:p>
    <w:p w14:paraId="1D214A01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Per informazioni:</w:t>
      </w:r>
    </w:p>
    <w:p w14:paraId="2120C655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Comunicazione e Relazioni con la Stampa</w:t>
      </w:r>
    </w:p>
    <w:p w14:paraId="016566AD" w14:textId="77777777" w:rsidR="003A0DF1" w:rsidRPr="00FE4EBB" w:rsidRDefault="003A0DF1" w:rsidP="00DF4C9B">
      <w:pPr>
        <w:tabs>
          <w:tab w:val="left" w:pos="8931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E4EBB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s.sanseverinati@confindustriavenest.it</w:t>
      </w:r>
      <w:r w:rsidRPr="00FE4EBB">
        <w:rPr>
          <w:bCs/>
          <w:i/>
          <w:iCs/>
          <w:sz w:val="22"/>
          <w:szCs w:val="22"/>
        </w:rPr>
        <w:t xml:space="preserve"> </w:t>
      </w:r>
      <w:r w:rsidRPr="00FE4EBB">
        <w:rPr>
          <w:bCs/>
          <w:i/>
          <w:sz w:val="22"/>
          <w:szCs w:val="22"/>
        </w:rPr>
        <w:t xml:space="preserve"> </w:t>
      </w:r>
    </w:p>
    <w:p w14:paraId="2A20AC60" w14:textId="77777777" w:rsidR="003A0DF1" w:rsidRPr="005A3145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5A3145">
        <w:rPr>
          <w:bCs/>
          <w:i/>
          <w:iCs/>
          <w:sz w:val="22"/>
          <w:szCs w:val="22"/>
        </w:rPr>
        <w:t xml:space="preserve">Leonardo Canal </w:t>
      </w:r>
      <w:r>
        <w:rPr>
          <w:bCs/>
          <w:i/>
          <w:iCs/>
          <w:sz w:val="22"/>
          <w:szCs w:val="22"/>
        </w:rPr>
        <w:t xml:space="preserve">- </w:t>
      </w:r>
      <w:r w:rsidRPr="005A3145">
        <w:rPr>
          <w:bCs/>
          <w:i/>
          <w:iCs/>
          <w:sz w:val="22"/>
          <w:szCs w:val="22"/>
        </w:rPr>
        <w:t>Tel. 0422 294253 - 335 1360291</w:t>
      </w:r>
      <w:r>
        <w:rPr>
          <w:bCs/>
          <w:i/>
          <w:iCs/>
          <w:sz w:val="22"/>
          <w:szCs w:val="22"/>
        </w:rPr>
        <w:t xml:space="preserve"> - l.canal@confindustriavenest.it</w:t>
      </w:r>
    </w:p>
    <w:sectPr w:rsidR="003A0DF1" w:rsidRPr="005A3145" w:rsidSect="00B0429A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7D85"/>
    <w:multiLevelType w:val="hybridMultilevel"/>
    <w:tmpl w:val="B180F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35DCD"/>
    <w:multiLevelType w:val="multilevel"/>
    <w:tmpl w:val="892A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0677B"/>
    <w:multiLevelType w:val="hybridMultilevel"/>
    <w:tmpl w:val="452AE3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1064EC4"/>
    <w:multiLevelType w:val="multilevel"/>
    <w:tmpl w:val="F38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36350"/>
    <w:multiLevelType w:val="hybridMultilevel"/>
    <w:tmpl w:val="E87E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F768E"/>
    <w:multiLevelType w:val="hybridMultilevel"/>
    <w:tmpl w:val="EAC65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80308"/>
    <w:multiLevelType w:val="hybridMultilevel"/>
    <w:tmpl w:val="BA107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2094">
    <w:abstractNumId w:val="3"/>
  </w:num>
  <w:num w:numId="2" w16cid:durableId="1536579450">
    <w:abstractNumId w:val="2"/>
  </w:num>
  <w:num w:numId="3" w16cid:durableId="1480803585">
    <w:abstractNumId w:val="6"/>
  </w:num>
  <w:num w:numId="4" w16cid:durableId="1732802493">
    <w:abstractNumId w:val="4"/>
  </w:num>
  <w:num w:numId="5" w16cid:durableId="1722366758">
    <w:abstractNumId w:val="1"/>
  </w:num>
  <w:num w:numId="6" w16cid:durableId="1767144156">
    <w:abstractNumId w:val="0"/>
  </w:num>
  <w:num w:numId="7" w16cid:durableId="1850826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1"/>
    <w:rsid w:val="00002F99"/>
    <w:rsid w:val="00003B82"/>
    <w:rsid w:val="00006484"/>
    <w:rsid w:val="00006E17"/>
    <w:rsid w:val="00012E81"/>
    <w:rsid w:val="00014004"/>
    <w:rsid w:val="00020497"/>
    <w:rsid w:val="00021872"/>
    <w:rsid w:val="000228DC"/>
    <w:rsid w:val="00026443"/>
    <w:rsid w:val="00030A09"/>
    <w:rsid w:val="000479C3"/>
    <w:rsid w:val="00051D39"/>
    <w:rsid w:val="000524B0"/>
    <w:rsid w:val="000552E1"/>
    <w:rsid w:val="00060658"/>
    <w:rsid w:val="00064B36"/>
    <w:rsid w:val="00065BA9"/>
    <w:rsid w:val="00067BBA"/>
    <w:rsid w:val="0007180E"/>
    <w:rsid w:val="0007477A"/>
    <w:rsid w:val="0008225F"/>
    <w:rsid w:val="00083F5C"/>
    <w:rsid w:val="000846FA"/>
    <w:rsid w:val="000910A5"/>
    <w:rsid w:val="000913C6"/>
    <w:rsid w:val="00092BAA"/>
    <w:rsid w:val="00097C5A"/>
    <w:rsid w:val="000A2F13"/>
    <w:rsid w:val="000A4D1C"/>
    <w:rsid w:val="000C2C5D"/>
    <w:rsid w:val="000C411B"/>
    <w:rsid w:val="000C424E"/>
    <w:rsid w:val="000C7DC1"/>
    <w:rsid w:val="000E008D"/>
    <w:rsid w:val="000E36B8"/>
    <w:rsid w:val="000E38D0"/>
    <w:rsid w:val="000E39F2"/>
    <w:rsid w:val="000F2723"/>
    <w:rsid w:val="000F7C32"/>
    <w:rsid w:val="0010069E"/>
    <w:rsid w:val="00106400"/>
    <w:rsid w:val="00106841"/>
    <w:rsid w:val="00107DFD"/>
    <w:rsid w:val="0011206B"/>
    <w:rsid w:val="00112572"/>
    <w:rsid w:val="00122009"/>
    <w:rsid w:val="00126AF4"/>
    <w:rsid w:val="00126E93"/>
    <w:rsid w:val="00135B19"/>
    <w:rsid w:val="0014106E"/>
    <w:rsid w:val="00141200"/>
    <w:rsid w:val="00144121"/>
    <w:rsid w:val="0014791F"/>
    <w:rsid w:val="0015047F"/>
    <w:rsid w:val="00151A4C"/>
    <w:rsid w:val="001526DF"/>
    <w:rsid w:val="00153B54"/>
    <w:rsid w:val="00170194"/>
    <w:rsid w:val="001810BB"/>
    <w:rsid w:val="00187D39"/>
    <w:rsid w:val="00192145"/>
    <w:rsid w:val="0019289B"/>
    <w:rsid w:val="00192951"/>
    <w:rsid w:val="001A2650"/>
    <w:rsid w:val="001A50C8"/>
    <w:rsid w:val="001C143B"/>
    <w:rsid w:val="001C39F6"/>
    <w:rsid w:val="001C3A87"/>
    <w:rsid w:val="001C75EC"/>
    <w:rsid w:val="001E58FD"/>
    <w:rsid w:val="001E76B5"/>
    <w:rsid w:val="001F141A"/>
    <w:rsid w:val="001F687C"/>
    <w:rsid w:val="002014B3"/>
    <w:rsid w:val="00202391"/>
    <w:rsid w:val="002103C2"/>
    <w:rsid w:val="00213579"/>
    <w:rsid w:val="0021371D"/>
    <w:rsid w:val="002142E0"/>
    <w:rsid w:val="00214334"/>
    <w:rsid w:val="0022267A"/>
    <w:rsid w:val="00222CCA"/>
    <w:rsid w:val="002304B1"/>
    <w:rsid w:val="00231DC7"/>
    <w:rsid w:val="0023658E"/>
    <w:rsid w:val="00240A47"/>
    <w:rsid w:val="00241302"/>
    <w:rsid w:val="00245A0D"/>
    <w:rsid w:val="00250F79"/>
    <w:rsid w:val="00257097"/>
    <w:rsid w:val="00261356"/>
    <w:rsid w:val="00266EE0"/>
    <w:rsid w:val="002711C3"/>
    <w:rsid w:val="0027287B"/>
    <w:rsid w:val="00275069"/>
    <w:rsid w:val="002758EE"/>
    <w:rsid w:val="002776E1"/>
    <w:rsid w:val="00280BE7"/>
    <w:rsid w:val="00281C06"/>
    <w:rsid w:val="002A2F81"/>
    <w:rsid w:val="002B3F9A"/>
    <w:rsid w:val="002B6FF4"/>
    <w:rsid w:val="002C12DD"/>
    <w:rsid w:val="002C2597"/>
    <w:rsid w:val="002C33E9"/>
    <w:rsid w:val="002D0FD0"/>
    <w:rsid w:val="002D46FA"/>
    <w:rsid w:val="002E1339"/>
    <w:rsid w:val="002E32F7"/>
    <w:rsid w:val="002E7591"/>
    <w:rsid w:val="0030152E"/>
    <w:rsid w:val="00312ADE"/>
    <w:rsid w:val="0031509E"/>
    <w:rsid w:val="00317C5F"/>
    <w:rsid w:val="003224BD"/>
    <w:rsid w:val="00323BFE"/>
    <w:rsid w:val="003276FA"/>
    <w:rsid w:val="00327749"/>
    <w:rsid w:val="003277D5"/>
    <w:rsid w:val="00337566"/>
    <w:rsid w:val="003412F9"/>
    <w:rsid w:val="00341E7C"/>
    <w:rsid w:val="0034589B"/>
    <w:rsid w:val="00346A06"/>
    <w:rsid w:val="003543B0"/>
    <w:rsid w:val="003660F3"/>
    <w:rsid w:val="003703B2"/>
    <w:rsid w:val="00373569"/>
    <w:rsid w:val="00373664"/>
    <w:rsid w:val="00375AF5"/>
    <w:rsid w:val="0038153B"/>
    <w:rsid w:val="00381AE8"/>
    <w:rsid w:val="00382489"/>
    <w:rsid w:val="00383C10"/>
    <w:rsid w:val="00393432"/>
    <w:rsid w:val="00395549"/>
    <w:rsid w:val="003A0DF1"/>
    <w:rsid w:val="003A2A82"/>
    <w:rsid w:val="003B2F32"/>
    <w:rsid w:val="003B6F20"/>
    <w:rsid w:val="003C4421"/>
    <w:rsid w:val="003C6086"/>
    <w:rsid w:val="003D6BE2"/>
    <w:rsid w:val="003E463A"/>
    <w:rsid w:val="003F1E5A"/>
    <w:rsid w:val="004118E4"/>
    <w:rsid w:val="00412085"/>
    <w:rsid w:val="0041779A"/>
    <w:rsid w:val="004203F3"/>
    <w:rsid w:val="0043298B"/>
    <w:rsid w:val="0043579A"/>
    <w:rsid w:val="004410D5"/>
    <w:rsid w:val="00443B50"/>
    <w:rsid w:val="00444226"/>
    <w:rsid w:val="004447C2"/>
    <w:rsid w:val="00453AC9"/>
    <w:rsid w:val="004541C1"/>
    <w:rsid w:val="00461A4F"/>
    <w:rsid w:val="00472595"/>
    <w:rsid w:val="004737E5"/>
    <w:rsid w:val="00477B13"/>
    <w:rsid w:val="00484B54"/>
    <w:rsid w:val="00485D43"/>
    <w:rsid w:val="00497FE6"/>
    <w:rsid w:val="004A3351"/>
    <w:rsid w:val="004B0F30"/>
    <w:rsid w:val="004B765B"/>
    <w:rsid w:val="004C1914"/>
    <w:rsid w:val="004D2E7C"/>
    <w:rsid w:val="004D60F9"/>
    <w:rsid w:val="004E3D4A"/>
    <w:rsid w:val="00502ED4"/>
    <w:rsid w:val="0050328C"/>
    <w:rsid w:val="0050375A"/>
    <w:rsid w:val="00505163"/>
    <w:rsid w:val="005060AE"/>
    <w:rsid w:val="00506D7D"/>
    <w:rsid w:val="00513535"/>
    <w:rsid w:val="00513FC3"/>
    <w:rsid w:val="00514AED"/>
    <w:rsid w:val="00523F81"/>
    <w:rsid w:val="0052436A"/>
    <w:rsid w:val="005332F4"/>
    <w:rsid w:val="005360CF"/>
    <w:rsid w:val="00537E45"/>
    <w:rsid w:val="0054440D"/>
    <w:rsid w:val="00554EAB"/>
    <w:rsid w:val="005560AC"/>
    <w:rsid w:val="005608AF"/>
    <w:rsid w:val="005634E8"/>
    <w:rsid w:val="00585D01"/>
    <w:rsid w:val="0059121E"/>
    <w:rsid w:val="00593942"/>
    <w:rsid w:val="005A3929"/>
    <w:rsid w:val="005A5174"/>
    <w:rsid w:val="005A55F2"/>
    <w:rsid w:val="005A614B"/>
    <w:rsid w:val="005A69F5"/>
    <w:rsid w:val="005B18D8"/>
    <w:rsid w:val="005B640F"/>
    <w:rsid w:val="005C5927"/>
    <w:rsid w:val="005D4522"/>
    <w:rsid w:val="005E0FD3"/>
    <w:rsid w:val="005E4161"/>
    <w:rsid w:val="005E4AFE"/>
    <w:rsid w:val="005E5418"/>
    <w:rsid w:val="005E5745"/>
    <w:rsid w:val="005F47F6"/>
    <w:rsid w:val="005F4F58"/>
    <w:rsid w:val="005F7178"/>
    <w:rsid w:val="00602FBB"/>
    <w:rsid w:val="00612FB7"/>
    <w:rsid w:val="00622368"/>
    <w:rsid w:val="00624768"/>
    <w:rsid w:val="00631E2E"/>
    <w:rsid w:val="00635A39"/>
    <w:rsid w:val="00643493"/>
    <w:rsid w:val="00644F33"/>
    <w:rsid w:val="006502D0"/>
    <w:rsid w:val="00650AD7"/>
    <w:rsid w:val="006514BD"/>
    <w:rsid w:val="0065429C"/>
    <w:rsid w:val="0066190A"/>
    <w:rsid w:val="00664994"/>
    <w:rsid w:val="00670D24"/>
    <w:rsid w:val="006737E4"/>
    <w:rsid w:val="0067399B"/>
    <w:rsid w:val="0067640D"/>
    <w:rsid w:val="006924CB"/>
    <w:rsid w:val="00692793"/>
    <w:rsid w:val="00693437"/>
    <w:rsid w:val="00693467"/>
    <w:rsid w:val="00694F71"/>
    <w:rsid w:val="00695A9B"/>
    <w:rsid w:val="006B4405"/>
    <w:rsid w:val="006C633A"/>
    <w:rsid w:val="006D1848"/>
    <w:rsid w:val="006D4924"/>
    <w:rsid w:val="006D69DB"/>
    <w:rsid w:val="006D78D1"/>
    <w:rsid w:val="006E112F"/>
    <w:rsid w:val="006E470F"/>
    <w:rsid w:val="006F2A2B"/>
    <w:rsid w:val="006F6AFB"/>
    <w:rsid w:val="0070082F"/>
    <w:rsid w:val="007025C8"/>
    <w:rsid w:val="00702BFE"/>
    <w:rsid w:val="007031B6"/>
    <w:rsid w:val="00705254"/>
    <w:rsid w:val="00707D9B"/>
    <w:rsid w:val="00735843"/>
    <w:rsid w:val="007378D9"/>
    <w:rsid w:val="00743BC6"/>
    <w:rsid w:val="00744B50"/>
    <w:rsid w:val="00751597"/>
    <w:rsid w:val="007541CA"/>
    <w:rsid w:val="00755AEA"/>
    <w:rsid w:val="00760BD8"/>
    <w:rsid w:val="0076482D"/>
    <w:rsid w:val="007658AA"/>
    <w:rsid w:val="00766D59"/>
    <w:rsid w:val="007700CE"/>
    <w:rsid w:val="00772065"/>
    <w:rsid w:val="00775CB3"/>
    <w:rsid w:val="00776563"/>
    <w:rsid w:val="00780214"/>
    <w:rsid w:val="00786980"/>
    <w:rsid w:val="007941B2"/>
    <w:rsid w:val="007C2A85"/>
    <w:rsid w:val="007C3BF0"/>
    <w:rsid w:val="007C43B7"/>
    <w:rsid w:val="007C6100"/>
    <w:rsid w:val="007D78DE"/>
    <w:rsid w:val="007E1602"/>
    <w:rsid w:val="007E3378"/>
    <w:rsid w:val="007F776B"/>
    <w:rsid w:val="00805418"/>
    <w:rsid w:val="00807D50"/>
    <w:rsid w:val="00810147"/>
    <w:rsid w:val="00824F7E"/>
    <w:rsid w:val="00824FA4"/>
    <w:rsid w:val="00842A99"/>
    <w:rsid w:val="008501D9"/>
    <w:rsid w:val="0085676D"/>
    <w:rsid w:val="00860140"/>
    <w:rsid w:val="00864F23"/>
    <w:rsid w:val="00867C9C"/>
    <w:rsid w:val="00877DE7"/>
    <w:rsid w:val="00880227"/>
    <w:rsid w:val="00881837"/>
    <w:rsid w:val="00884AAC"/>
    <w:rsid w:val="008A136D"/>
    <w:rsid w:val="008A1AB0"/>
    <w:rsid w:val="008A1BE9"/>
    <w:rsid w:val="008A54B4"/>
    <w:rsid w:val="008A5B8A"/>
    <w:rsid w:val="008B2CA9"/>
    <w:rsid w:val="008B4A22"/>
    <w:rsid w:val="008C5143"/>
    <w:rsid w:val="008E162E"/>
    <w:rsid w:val="008E69A7"/>
    <w:rsid w:val="008F58EA"/>
    <w:rsid w:val="008F6D5C"/>
    <w:rsid w:val="009013F2"/>
    <w:rsid w:val="009020D7"/>
    <w:rsid w:val="009072AB"/>
    <w:rsid w:val="00911B12"/>
    <w:rsid w:val="009121FA"/>
    <w:rsid w:val="0092007B"/>
    <w:rsid w:val="0092062F"/>
    <w:rsid w:val="00920DCD"/>
    <w:rsid w:val="009236FD"/>
    <w:rsid w:val="009279B9"/>
    <w:rsid w:val="00940C4B"/>
    <w:rsid w:val="00942DEF"/>
    <w:rsid w:val="00944051"/>
    <w:rsid w:val="00944AB8"/>
    <w:rsid w:val="00946EF6"/>
    <w:rsid w:val="00950A39"/>
    <w:rsid w:val="00955C0B"/>
    <w:rsid w:val="009560F5"/>
    <w:rsid w:val="009575D0"/>
    <w:rsid w:val="00962F67"/>
    <w:rsid w:val="00966D97"/>
    <w:rsid w:val="00966DBD"/>
    <w:rsid w:val="00971458"/>
    <w:rsid w:val="009717E1"/>
    <w:rsid w:val="009759BD"/>
    <w:rsid w:val="009803AA"/>
    <w:rsid w:val="00980466"/>
    <w:rsid w:val="009857DD"/>
    <w:rsid w:val="00992EA7"/>
    <w:rsid w:val="00997218"/>
    <w:rsid w:val="00997869"/>
    <w:rsid w:val="009A3ABF"/>
    <w:rsid w:val="009A3E19"/>
    <w:rsid w:val="009A4420"/>
    <w:rsid w:val="009A771B"/>
    <w:rsid w:val="009B0140"/>
    <w:rsid w:val="009C1148"/>
    <w:rsid w:val="009C3DAB"/>
    <w:rsid w:val="009D073A"/>
    <w:rsid w:val="009D3D09"/>
    <w:rsid w:val="009D7605"/>
    <w:rsid w:val="009E09C8"/>
    <w:rsid w:val="009E1302"/>
    <w:rsid w:val="009E3C8F"/>
    <w:rsid w:val="009F3070"/>
    <w:rsid w:val="009F6529"/>
    <w:rsid w:val="00A0153B"/>
    <w:rsid w:val="00A06E9A"/>
    <w:rsid w:val="00A06F7D"/>
    <w:rsid w:val="00A17881"/>
    <w:rsid w:val="00A27AE0"/>
    <w:rsid w:val="00A30A78"/>
    <w:rsid w:val="00A32DB8"/>
    <w:rsid w:val="00A34057"/>
    <w:rsid w:val="00A36558"/>
    <w:rsid w:val="00A40406"/>
    <w:rsid w:val="00A46BDC"/>
    <w:rsid w:val="00A46C2E"/>
    <w:rsid w:val="00A53763"/>
    <w:rsid w:val="00A53AD5"/>
    <w:rsid w:val="00A54F0C"/>
    <w:rsid w:val="00A6419E"/>
    <w:rsid w:val="00A65859"/>
    <w:rsid w:val="00A67D4E"/>
    <w:rsid w:val="00A67D52"/>
    <w:rsid w:val="00A76BF3"/>
    <w:rsid w:val="00A77654"/>
    <w:rsid w:val="00A923C5"/>
    <w:rsid w:val="00A92C75"/>
    <w:rsid w:val="00A94D39"/>
    <w:rsid w:val="00A97193"/>
    <w:rsid w:val="00AA2939"/>
    <w:rsid w:val="00AA4D92"/>
    <w:rsid w:val="00AA4F2C"/>
    <w:rsid w:val="00AA5053"/>
    <w:rsid w:val="00AB5454"/>
    <w:rsid w:val="00AB746E"/>
    <w:rsid w:val="00AC10EF"/>
    <w:rsid w:val="00AC2ABB"/>
    <w:rsid w:val="00AC2EFA"/>
    <w:rsid w:val="00AD5620"/>
    <w:rsid w:val="00AD64A8"/>
    <w:rsid w:val="00AD64EC"/>
    <w:rsid w:val="00AE12A8"/>
    <w:rsid w:val="00AE3AAB"/>
    <w:rsid w:val="00AE4918"/>
    <w:rsid w:val="00AE6569"/>
    <w:rsid w:val="00AF1484"/>
    <w:rsid w:val="00AF65A8"/>
    <w:rsid w:val="00B00FCE"/>
    <w:rsid w:val="00B02D0D"/>
    <w:rsid w:val="00B02FB8"/>
    <w:rsid w:val="00B0429A"/>
    <w:rsid w:val="00B04F4C"/>
    <w:rsid w:val="00B05147"/>
    <w:rsid w:val="00B05B10"/>
    <w:rsid w:val="00B05F66"/>
    <w:rsid w:val="00B06B85"/>
    <w:rsid w:val="00B06D5F"/>
    <w:rsid w:val="00B149F5"/>
    <w:rsid w:val="00B14CDA"/>
    <w:rsid w:val="00B17106"/>
    <w:rsid w:val="00B23074"/>
    <w:rsid w:val="00B32914"/>
    <w:rsid w:val="00B32C5B"/>
    <w:rsid w:val="00B358BA"/>
    <w:rsid w:val="00B417E4"/>
    <w:rsid w:val="00B4314A"/>
    <w:rsid w:val="00B45412"/>
    <w:rsid w:val="00B47EF7"/>
    <w:rsid w:val="00B53AC9"/>
    <w:rsid w:val="00B54134"/>
    <w:rsid w:val="00B60CA6"/>
    <w:rsid w:val="00B767C0"/>
    <w:rsid w:val="00B77380"/>
    <w:rsid w:val="00B81B17"/>
    <w:rsid w:val="00B84DF8"/>
    <w:rsid w:val="00B910A2"/>
    <w:rsid w:val="00B94161"/>
    <w:rsid w:val="00B96CA2"/>
    <w:rsid w:val="00B97CBF"/>
    <w:rsid w:val="00BA0764"/>
    <w:rsid w:val="00BA1547"/>
    <w:rsid w:val="00BA29F0"/>
    <w:rsid w:val="00BB29B3"/>
    <w:rsid w:val="00BB2B3A"/>
    <w:rsid w:val="00BB39B8"/>
    <w:rsid w:val="00BB3BC1"/>
    <w:rsid w:val="00BB40EC"/>
    <w:rsid w:val="00BB42B1"/>
    <w:rsid w:val="00BC043F"/>
    <w:rsid w:val="00BC2355"/>
    <w:rsid w:val="00BC23AE"/>
    <w:rsid w:val="00BC2FA6"/>
    <w:rsid w:val="00BC51C0"/>
    <w:rsid w:val="00BD0AC1"/>
    <w:rsid w:val="00BE2526"/>
    <w:rsid w:val="00BE2689"/>
    <w:rsid w:val="00BE3290"/>
    <w:rsid w:val="00BE64E5"/>
    <w:rsid w:val="00BF10EE"/>
    <w:rsid w:val="00BF7CC7"/>
    <w:rsid w:val="00C015BA"/>
    <w:rsid w:val="00C02F77"/>
    <w:rsid w:val="00C04580"/>
    <w:rsid w:val="00C072CC"/>
    <w:rsid w:val="00C10DC0"/>
    <w:rsid w:val="00C1134A"/>
    <w:rsid w:val="00C12D3F"/>
    <w:rsid w:val="00C14362"/>
    <w:rsid w:val="00C168FC"/>
    <w:rsid w:val="00C207C3"/>
    <w:rsid w:val="00C2371C"/>
    <w:rsid w:val="00C26D1B"/>
    <w:rsid w:val="00C270CA"/>
    <w:rsid w:val="00C32145"/>
    <w:rsid w:val="00C36B6E"/>
    <w:rsid w:val="00C410C8"/>
    <w:rsid w:val="00C4713E"/>
    <w:rsid w:val="00C67E5D"/>
    <w:rsid w:val="00C70D46"/>
    <w:rsid w:val="00C7168C"/>
    <w:rsid w:val="00C759AF"/>
    <w:rsid w:val="00C81DC5"/>
    <w:rsid w:val="00C843C5"/>
    <w:rsid w:val="00C91FCF"/>
    <w:rsid w:val="00CA5CD0"/>
    <w:rsid w:val="00CA745A"/>
    <w:rsid w:val="00CB2977"/>
    <w:rsid w:val="00CB7406"/>
    <w:rsid w:val="00CC3E59"/>
    <w:rsid w:val="00CC5F87"/>
    <w:rsid w:val="00CD234A"/>
    <w:rsid w:val="00CD2B84"/>
    <w:rsid w:val="00CD44EA"/>
    <w:rsid w:val="00CE16D0"/>
    <w:rsid w:val="00CE29FB"/>
    <w:rsid w:val="00CE4E1D"/>
    <w:rsid w:val="00CF1378"/>
    <w:rsid w:val="00CF5EE5"/>
    <w:rsid w:val="00CF762A"/>
    <w:rsid w:val="00D164E2"/>
    <w:rsid w:val="00D203E1"/>
    <w:rsid w:val="00D2351B"/>
    <w:rsid w:val="00D31D4B"/>
    <w:rsid w:val="00D3365C"/>
    <w:rsid w:val="00D35A55"/>
    <w:rsid w:val="00D40596"/>
    <w:rsid w:val="00D444AE"/>
    <w:rsid w:val="00D503EF"/>
    <w:rsid w:val="00D518D7"/>
    <w:rsid w:val="00D52D33"/>
    <w:rsid w:val="00D62922"/>
    <w:rsid w:val="00D6325B"/>
    <w:rsid w:val="00D73036"/>
    <w:rsid w:val="00D82F1F"/>
    <w:rsid w:val="00D854AE"/>
    <w:rsid w:val="00D855B7"/>
    <w:rsid w:val="00D941E8"/>
    <w:rsid w:val="00DA0CE6"/>
    <w:rsid w:val="00DA1C11"/>
    <w:rsid w:val="00DA7BE5"/>
    <w:rsid w:val="00DB2D0E"/>
    <w:rsid w:val="00DB7FAC"/>
    <w:rsid w:val="00DC20C6"/>
    <w:rsid w:val="00DC2409"/>
    <w:rsid w:val="00DC3D28"/>
    <w:rsid w:val="00DC7BDE"/>
    <w:rsid w:val="00DD677E"/>
    <w:rsid w:val="00DE006D"/>
    <w:rsid w:val="00DE04AC"/>
    <w:rsid w:val="00DE1E20"/>
    <w:rsid w:val="00DE6315"/>
    <w:rsid w:val="00DF0B93"/>
    <w:rsid w:val="00DF3164"/>
    <w:rsid w:val="00DF4C9B"/>
    <w:rsid w:val="00DF62C6"/>
    <w:rsid w:val="00E024D0"/>
    <w:rsid w:val="00E05088"/>
    <w:rsid w:val="00E05DC1"/>
    <w:rsid w:val="00E1229B"/>
    <w:rsid w:val="00E1335D"/>
    <w:rsid w:val="00E165F1"/>
    <w:rsid w:val="00E16D8A"/>
    <w:rsid w:val="00E2162F"/>
    <w:rsid w:val="00E21B38"/>
    <w:rsid w:val="00E25002"/>
    <w:rsid w:val="00E27002"/>
    <w:rsid w:val="00E273A6"/>
    <w:rsid w:val="00E3288B"/>
    <w:rsid w:val="00E34330"/>
    <w:rsid w:val="00E36CA0"/>
    <w:rsid w:val="00E44D54"/>
    <w:rsid w:val="00E45320"/>
    <w:rsid w:val="00E46D75"/>
    <w:rsid w:val="00E5141B"/>
    <w:rsid w:val="00E54CB6"/>
    <w:rsid w:val="00E64EB8"/>
    <w:rsid w:val="00E66047"/>
    <w:rsid w:val="00E80CC1"/>
    <w:rsid w:val="00E84F81"/>
    <w:rsid w:val="00E86B6C"/>
    <w:rsid w:val="00E87DCC"/>
    <w:rsid w:val="00E979AC"/>
    <w:rsid w:val="00E97C95"/>
    <w:rsid w:val="00EA4B41"/>
    <w:rsid w:val="00EA6F3D"/>
    <w:rsid w:val="00EB158E"/>
    <w:rsid w:val="00EB1F9B"/>
    <w:rsid w:val="00EB3B2A"/>
    <w:rsid w:val="00EB4BFC"/>
    <w:rsid w:val="00EB7EB7"/>
    <w:rsid w:val="00EC353E"/>
    <w:rsid w:val="00EC4F09"/>
    <w:rsid w:val="00ED0456"/>
    <w:rsid w:val="00ED0F3F"/>
    <w:rsid w:val="00ED4965"/>
    <w:rsid w:val="00ED5EE0"/>
    <w:rsid w:val="00EE03F8"/>
    <w:rsid w:val="00EE4A5A"/>
    <w:rsid w:val="00EE7F8F"/>
    <w:rsid w:val="00EF1FEF"/>
    <w:rsid w:val="00EF2B08"/>
    <w:rsid w:val="00EF6759"/>
    <w:rsid w:val="00F00364"/>
    <w:rsid w:val="00F11F01"/>
    <w:rsid w:val="00F142A4"/>
    <w:rsid w:val="00F152CF"/>
    <w:rsid w:val="00F15457"/>
    <w:rsid w:val="00F16E6E"/>
    <w:rsid w:val="00F26DD8"/>
    <w:rsid w:val="00F42550"/>
    <w:rsid w:val="00F4497C"/>
    <w:rsid w:val="00F5751A"/>
    <w:rsid w:val="00F61287"/>
    <w:rsid w:val="00F63BF5"/>
    <w:rsid w:val="00F656BC"/>
    <w:rsid w:val="00F669AF"/>
    <w:rsid w:val="00F66AB3"/>
    <w:rsid w:val="00F75DF2"/>
    <w:rsid w:val="00F82D11"/>
    <w:rsid w:val="00F90D7A"/>
    <w:rsid w:val="00F914AD"/>
    <w:rsid w:val="00F95F3C"/>
    <w:rsid w:val="00F96010"/>
    <w:rsid w:val="00FA1DE2"/>
    <w:rsid w:val="00FA479B"/>
    <w:rsid w:val="00FA637A"/>
    <w:rsid w:val="00FA6771"/>
    <w:rsid w:val="00FB0CC5"/>
    <w:rsid w:val="00FB62D0"/>
    <w:rsid w:val="00FB6929"/>
    <w:rsid w:val="00FB78C9"/>
    <w:rsid w:val="00FB79A0"/>
    <w:rsid w:val="00FC5EAE"/>
    <w:rsid w:val="00FC7D32"/>
    <w:rsid w:val="00FD183F"/>
    <w:rsid w:val="00FD1C38"/>
    <w:rsid w:val="00FD2412"/>
    <w:rsid w:val="00FD24B1"/>
    <w:rsid w:val="00FD5364"/>
    <w:rsid w:val="00FE07EF"/>
    <w:rsid w:val="00FE3FCE"/>
    <w:rsid w:val="00FE4BD9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89"/>
  <w15:chartTrackingRefBased/>
  <w15:docId w15:val="{39840577-7635-4D6F-8CFC-D69B1C7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A0DF1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AA4F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3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E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F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EE7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belotto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malpal.com/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rion-srl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biente1985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BEC9-6367-46FE-AD9B-E56F23D8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2461</Words>
  <Characters>14033</Characters>
  <Application>Microsoft Office Word</Application>
  <DocSecurity>0</DocSecurity>
  <Lines>116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/>
      <vt:lpstr>Comunicato Stampa</vt:lpstr>
      <vt:lpstr>        </vt:lpstr>
    </vt:vector>
  </TitlesOfParts>
  <Company/>
  <LinksUpToDate>false</LinksUpToDate>
  <CharactersWithSpaces>16462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Sandro Sanseverinati</cp:lastModifiedBy>
  <cp:revision>9</cp:revision>
  <cp:lastPrinted>2026-02-04T09:14:00Z</cp:lastPrinted>
  <dcterms:created xsi:type="dcterms:W3CDTF">2026-02-04T11:11:00Z</dcterms:created>
  <dcterms:modified xsi:type="dcterms:W3CDTF">2026-02-04T13:27:00Z</dcterms:modified>
</cp:coreProperties>
</file>